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17B" w:rsidRPr="000515C4" w:rsidRDefault="000B117B" w:rsidP="000B117B">
      <w:pPr>
        <w:jc w:val="center"/>
        <w:rPr>
          <w:b/>
          <w:sz w:val="28"/>
        </w:rPr>
      </w:pPr>
      <w:bookmarkStart w:id="0" w:name="_GoBack"/>
      <w:bookmarkEnd w:id="0"/>
      <w:r w:rsidRPr="000515C4">
        <w:rPr>
          <w:b/>
          <w:sz w:val="28"/>
        </w:rPr>
        <w:t>VŠEOBECNÉ TECHNICKÉ PODMÍNKY</w:t>
      </w:r>
    </w:p>
    <w:p w:rsidR="000B117B" w:rsidRPr="000515C4" w:rsidRDefault="000B117B" w:rsidP="000B117B">
      <w:pPr>
        <w:jc w:val="center"/>
        <w:rPr>
          <w:b/>
          <w:sz w:val="28"/>
        </w:rPr>
      </w:pPr>
      <w:r w:rsidRPr="000515C4">
        <w:rPr>
          <w:b/>
          <w:sz w:val="28"/>
        </w:rPr>
        <w:t>PRO PROJEKČNÍ PRÁCE SON</w:t>
      </w:r>
    </w:p>
    <w:p w:rsidR="000B117B" w:rsidRDefault="000B117B" w:rsidP="000B117B">
      <w:pPr>
        <w:jc w:val="center"/>
        <w:rPr>
          <w:b/>
          <w:sz w:val="28"/>
        </w:rPr>
      </w:pPr>
      <w:r w:rsidRPr="000515C4">
        <w:rPr>
          <w:b/>
          <w:sz w:val="28"/>
        </w:rPr>
        <w:t>PROJEKT STAVBY</w:t>
      </w:r>
    </w:p>
    <w:p w:rsidR="000B117B" w:rsidRDefault="000B117B" w:rsidP="000B117B">
      <w:pPr>
        <w:jc w:val="center"/>
        <w:rPr>
          <w:b/>
          <w:sz w:val="28"/>
        </w:rPr>
      </w:pPr>
    </w:p>
    <w:tbl>
      <w:tblPr>
        <w:tblW w:w="8707" w:type="dxa"/>
        <w:tblBorders>
          <w:top w:val="nil"/>
          <w:left w:val="nil"/>
          <w:bottom w:val="nil"/>
          <w:right w:val="nil"/>
        </w:tblBorders>
        <w:tblLayout w:type="fixed"/>
        <w:tblLook w:val="0000" w:firstRow="0" w:lastRow="0" w:firstColumn="0" w:lastColumn="0" w:noHBand="0" w:noVBand="0"/>
      </w:tblPr>
      <w:tblGrid>
        <w:gridCol w:w="2943"/>
        <w:gridCol w:w="5764"/>
      </w:tblGrid>
      <w:tr w:rsidR="000B117B" w:rsidRPr="003B6C7E" w:rsidTr="00BF6CB7">
        <w:trPr>
          <w:trHeight w:val="110"/>
        </w:trPr>
        <w:tc>
          <w:tcPr>
            <w:tcW w:w="2943" w:type="dxa"/>
          </w:tcPr>
          <w:p w:rsidR="000B117B" w:rsidRPr="003B6C7E" w:rsidRDefault="000B117B" w:rsidP="00BF6CB7">
            <w:pPr>
              <w:rPr>
                <w:b/>
                <w:bCs/>
                <w:color w:val="000000"/>
              </w:rPr>
            </w:pPr>
            <w:r w:rsidRPr="003B6C7E">
              <w:rPr>
                <w:b/>
                <w:bCs/>
                <w:color w:val="000000"/>
              </w:rPr>
              <w:t xml:space="preserve">SEZNAM ZKRATEK: </w:t>
            </w:r>
          </w:p>
          <w:p w:rsidR="000B117B" w:rsidRPr="003B6C7E" w:rsidRDefault="000B117B" w:rsidP="00BF6CB7">
            <w:pPr>
              <w:spacing w:before="120"/>
              <w:rPr>
                <w:color w:val="000000"/>
              </w:rPr>
            </w:pPr>
            <w:r w:rsidRPr="003B6C7E">
              <w:rPr>
                <w:b/>
                <w:bCs/>
                <w:color w:val="000000"/>
              </w:rPr>
              <w:t>AD ..................</w:t>
            </w:r>
          </w:p>
        </w:tc>
        <w:tc>
          <w:tcPr>
            <w:tcW w:w="5764" w:type="dxa"/>
          </w:tcPr>
          <w:p w:rsidR="000B117B" w:rsidRPr="003B6C7E" w:rsidRDefault="000B117B" w:rsidP="00BF6CB7">
            <w:pPr>
              <w:rPr>
                <w:color w:val="000000"/>
              </w:rPr>
            </w:pPr>
          </w:p>
          <w:p w:rsidR="000B117B" w:rsidRPr="003B6C7E" w:rsidRDefault="000B117B" w:rsidP="00BF6CB7">
            <w:pPr>
              <w:spacing w:before="120"/>
              <w:rPr>
                <w:color w:val="000000"/>
              </w:rPr>
            </w:pPr>
            <w:r w:rsidRPr="003B6C7E">
              <w:rPr>
                <w:color w:val="000000"/>
              </w:rPr>
              <w:t xml:space="preserve">Autorský dozor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BOZP ..............</w:t>
            </w:r>
          </w:p>
        </w:tc>
        <w:tc>
          <w:tcPr>
            <w:tcW w:w="5764" w:type="dxa"/>
          </w:tcPr>
          <w:p w:rsidR="000B117B" w:rsidRPr="003B6C7E" w:rsidRDefault="000B117B" w:rsidP="00BF6CB7">
            <w:pPr>
              <w:rPr>
                <w:color w:val="000000"/>
              </w:rPr>
            </w:pPr>
            <w:r w:rsidRPr="003B6C7E">
              <w:rPr>
                <w:color w:val="000000"/>
              </w:rPr>
              <w:t xml:space="preserve">Bezpečnost a ochrana zdraví při práci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ČD ..................</w:t>
            </w:r>
          </w:p>
        </w:tc>
        <w:tc>
          <w:tcPr>
            <w:tcW w:w="5764" w:type="dxa"/>
          </w:tcPr>
          <w:p w:rsidR="000B117B" w:rsidRPr="003B6C7E" w:rsidRDefault="000B117B" w:rsidP="00BF6CB7">
            <w:pPr>
              <w:rPr>
                <w:color w:val="000000"/>
              </w:rPr>
            </w:pPr>
            <w:r w:rsidRPr="003B6C7E">
              <w:rPr>
                <w:color w:val="000000"/>
              </w:rPr>
              <w:t xml:space="preserve">České dráhy, akciová společnost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ČR ..................</w:t>
            </w:r>
          </w:p>
        </w:tc>
        <w:tc>
          <w:tcPr>
            <w:tcW w:w="5764" w:type="dxa"/>
          </w:tcPr>
          <w:p w:rsidR="000B117B" w:rsidRPr="003B6C7E" w:rsidRDefault="000B117B" w:rsidP="00BF6CB7">
            <w:pPr>
              <w:rPr>
                <w:color w:val="000000"/>
              </w:rPr>
            </w:pPr>
            <w:r w:rsidRPr="003B6C7E">
              <w:rPr>
                <w:color w:val="000000"/>
              </w:rPr>
              <w:t xml:space="preserve">Česká republika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ČSN .................</w:t>
            </w:r>
          </w:p>
        </w:tc>
        <w:tc>
          <w:tcPr>
            <w:tcW w:w="5764" w:type="dxa"/>
          </w:tcPr>
          <w:p w:rsidR="000B117B" w:rsidRPr="003B6C7E" w:rsidRDefault="000B117B" w:rsidP="00BF6CB7">
            <w:pPr>
              <w:rPr>
                <w:color w:val="000000"/>
              </w:rPr>
            </w:pPr>
            <w:r w:rsidRPr="003B6C7E">
              <w:rPr>
                <w:color w:val="000000"/>
              </w:rPr>
              <w:t xml:space="preserve">Česká technická norma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ISO ..................</w:t>
            </w:r>
          </w:p>
        </w:tc>
        <w:tc>
          <w:tcPr>
            <w:tcW w:w="5764" w:type="dxa"/>
          </w:tcPr>
          <w:p w:rsidR="000B117B" w:rsidRPr="003B6C7E" w:rsidRDefault="000B117B" w:rsidP="00BF6CB7">
            <w:pPr>
              <w:rPr>
                <w:color w:val="000000"/>
              </w:rPr>
            </w:pPr>
            <w:r w:rsidRPr="003B6C7E">
              <w:rPr>
                <w:color w:val="000000"/>
              </w:rPr>
              <w:t xml:space="preserve">Mezinárodní organizace pro standardizaci (lnternational Organization for Standardization)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GŘ SŽDC ..........</w:t>
            </w:r>
          </w:p>
        </w:tc>
        <w:tc>
          <w:tcPr>
            <w:tcW w:w="5764" w:type="dxa"/>
          </w:tcPr>
          <w:p w:rsidR="000B117B" w:rsidRPr="003B6C7E" w:rsidRDefault="000B117B" w:rsidP="00BF6CB7">
            <w:pPr>
              <w:rPr>
                <w:color w:val="000000"/>
              </w:rPr>
            </w:pPr>
            <w:r w:rsidRPr="003B6C7E">
              <w:rPr>
                <w:color w:val="000000"/>
              </w:rPr>
              <w:t xml:space="preserve">Generální ředitelství Správy železniční dopravní cesty, státní organizace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MD .................</w:t>
            </w:r>
          </w:p>
        </w:tc>
        <w:tc>
          <w:tcPr>
            <w:tcW w:w="5764" w:type="dxa"/>
          </w:tcPr>
          <w:p w:rsidR="000B117B" w:rsidRPr="003B6C7E" w:rsidRDefault="000B117B" w:rsidP="00BF6CB7">
            <w:pPr>
              <w:rPr>
                <w:color w:val="000000"/>
              </w:rPr>
            </w:pPr>
            <w:r w:rsidRPr="003B6C7E">
              <w:rPr>
                <w:color w:val="000000"/>
              </w:rPr>
              <w:t xml:space="preserve">Ministerstvo dopravy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OJ ..................</w:t>
            </w:r>
          </w:p>
        </w:tc>
        <w:tc>
          <w:tcPr>
            <w:tcW w:w="5764" w:type="dxa"/>
          </w:tcPr>
          <w:p w:rsidR="000B117B" w:rsidRPr="003B6C7E" w:rsidRDefault="000B117B" w:rsidP="00BF6CB7">
            <w:pPr>
              <w:rPr>
                <w:color w:val="000000"/>
              </w:rPr>
            </w:pPr>
            <w:r w:rsidRPr="003B6C7E">
              <w:rPr>
                <w:color w:val="000000"/>
              </w:rPr>
              <w:t xml:space="preserve">Organizační jednotka </w:t>
            </w:r>
          </w:p>
        </w:tc>
      </w:tr>
      <w:tr w:rsidR="000B117B" w:rsidRPr="003B6C7E" w:rsidTr="00BF6CB7">
        <w:trPr>
          <w:trHeight w:val="233"/>
        </w:trPr>
        <w:tc>
          <w:tcPr>
            <w:tcW w:w="2943" w:type="dxa"/>
          </w:tcPr>
          <w:p w:rsidR="000B117B" w:rsidRPr="003B6C7E" w:rsidRDefault="000B117B" w:rsidP="00BF6CB7">
            <w:pPr>
              <w:rPr>
                <w:color w:val="000000"/>
              </w:rPr>
            </w:pPr>
            <w:r w:rsidRPr="003B6C7E">
              <w:rPr>
                <w:b/>
                <w:bCs/>
                <w:color w:val="000000"/>
              </w:rPr>
              <w:t>(P) ..................</w:t>
            </w:r>
          </w:p>
        </w:tc>
        <w:tc>
          <w:tcPr>
            <w:tcW w:w="5764" w:type="dxa"/>
          </w:tcPr>
          <w:p w:rsidR="000B117B" w:rsidRPr="003B6C7E" w:rsidRDefault="000B117B" w:rsidP="00BF6CB7">
            <w:pPr>
              <w:rPr>
                <w:color w:val="000000"/>
              </w:rPr>
            </w:pPr>
            <w:r w:rsidRPr="003B6C7E">
              <w:rPr>
                <w:color w:val="000000"/>
              </w:rPr>
              <w:t xml:space="preserve">Projekt stavby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PD ..................</w:t>
            </w:r>
          </w:p>
        </w:tc>
        <w:tc>
          <w:tcPr>
            <w:tcW w:w="5764" w:type="dxa"/>
          </w:tcPr>
          <w:p w:rsidR="000B117B" w:rsidRPr="003B6C7E" w:rsidRDefault="000B117B" w:rsidP="00BF6CB7">
            <w:pPr>
              <w:rPr>
                <w:color w:val="000000"/>
              </w:rPr>
            </w:pPr>
            <w:r w:rsidRPr="003B6C7E">
              <w:rPr>
                <w:color w:val="000000"/>
              </w:rPr>
              <w:t xml:space="preserve">Přípravná dokumentace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POV ................</w:t>
            </w:r>
          </w:p>
        </w:tc>
        <w:tc>
          <w:tcPr>
            <w:tcW w:w="5764" w:type="dxa"/>
          </w:tcPr>
          <w:p w:rsidR="000B117B" w:rsidRPr="003B6C7E" w:rsidRDefault="000B117B" w:rsidP="00BF6CB7">
            <w:pPr>
              <w:rPr>
                <w:color w:val="000000"/>
              </w:rPr>
            </w:pPr>
            <w:r w:rsidRPr="003B6C7E">
              <w:rPr>
                <w:color w:val="000000"/>
              </w:rPr>
              <w:t xml:space="preserve">Postup organizace výstavby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PS ...................</w:t>
            </w:r>
          </w:p>
        </w:tc>
        <w:tc>
          <w:tcPr>
            <w:tcW w:w="5764" w:type="dxa"/>
          </w:tcPr>
          <w:p w:rsidR="000B117B" w:rsidRPr="003B6C7E" w:rsidRDefault="000B117B" w:rsidP="00BF6CB7">
            <w:pPr>
              <w:rPr>
                <w:color w:val="000000"/>
              </w:rPr>
            </w:pPr>
            <w:r w:rsidRPr="003B6C7E">
              <w:rPr>
                <w:color w:val="000000"/>
              </w:rPr>
              <w:t xml:space="preserve">Provozní soubor </w:t>
            </w:r>
          </w:p>
        </w:tc>
      </w:tr>
      <w:tr w:rsidR="000B117B" w:rsidRPr="003B6C7E" w:rsidTr="00BF6CB7">
        <w:trPr>
          <w:trHeight w:val="110"/>
        </w:trPr>
        <w:tc>
          <w:tcPr>
            <w:tcW w:w="2943" w:type="dxa"/>
          </w:tcPr>
          <w:p w:rsidR="000B117B" w:rsidRPr="003B6C7E" w:rsidRDefault="000B117B" w:rsidP="00BF6CB7">
            <w:pPr>
              <w:rPr>
                <w:color w:val="000000"/>
              </w:rPr>
            </w:pPr>
            <w:r w:rsidRPr="003B6C7E">
              <w:rPr>
                <w:b/>
                <w:bCs/>
                <w:color w:val="000000"/>
              </w:rPr>
              <w:t>RSM ................</w:t>
            </w:r>
          </w:p>
        </w:tc>
        <w:tc>
          <w:tcPr>
            <w:tcW w:w="5764" w:type="dxa"/>
          </w:tcPr>
          <w:p w:rsidR="000B117B" w:rsidRPr="003B6C7E" w:rsidRDefault="000B117B" w:rsidP="00BF6CB7">
            <w:pPr>
              <w:rPr>
                <w:color w:val="000000"/>
              </w:rPr>
            </w:pPr>
            <w:r w:rsidRPr="003B6C7E">
              <w:rPr>
                <w:color w:val="000000"/>
              </w:rPr>
              <w:t xml:space="preserve">Regionální správa majetku </w:t>
            </w:r>
          </w:p>
        </w:tc>
      </w:tr>
      <w:tr w:rsidR="000B117B" w:rsidRPr="003B6C7E" w:rsidTr="00BF6CB7">
        <w:trPr>
          <w:trHeight w:val="110"/>
        </w:trPr>
        <w:tc>
          <w:tcPr>
            <w:tcW w:w="2943" w:type="dxa"/>
            <w:tcBorders>
              <w:left w:val="nil"/>
            </w:tcBorders>
          </w:tcPr>
          <w:p w:rsidR="000B117B" w:rsidRPr="003B6C7E" w:rsidRDefault="000B117B" w:rsidP="00BF6CB7">
            <w:pPr>
              <w:rPr>
                <w:color w:val="000000"/>
              </w:rPr>
            </w:pPr>
            <w:r w:rsidRPr="003B6C7E">
              <w:rPr>
                <w:b/>
                <w:bCs/>
                <w:color w:val="000000"/>
              </w:rPr>
              <w:t>SFDI ...............</w:t>
            </w:r>
          </w:p>
        </w:tc>
        <w:tc>
          <w:tcPr>
            <w:tcW w:w="5764" w:type="dxa"/>
            <w:tcBorders>
              <w:right w:val="nil"/>
            </w:tcBorders>
          </w:tcPr>
          <w:p w:rsidR="000B117B" w:rsidRPr="003B6C7E" w:rsidRDefault="000B117B" w:rsidP="00BF6CB7">
            <w:pPr>
              <w:rPr>
                <w:color w:val="000000"/>
              </w:rPr>
            </w:pPr>
            <w:r w:rsidRPr="003B6C7E">
              <w:rPr>
                <w:color w:val="000000"/>
              </w:rPr>
              <w:t xml:space="preserve">Státní fond dopravní infrastruktury </w:t>
            </w:r>
          </w:p>
        </w:tc>
      </w:tr>
      <w:tr w:rsidR="000B117B" w:rsidRPr="003B6C7E" w:rsidTr="00BF6CB7">
        <w:trPr>
          <w:trHeight w:val="110"/>
        </w:trPr>
        <w:tc>
          <w:tcPr>
            <w:tcW w:w="2943" w:type="dxa"/>
            <w:tcBorders>
              <w:left w:val="nil"/>
            </w:tcBorders>
          </w:tcPr>
          <w:p w:rsidR="000B117B" w:rsidRPr="003B6C7E" w:rsidRDefault="000B117B" w:rsidP="00BF6CB7">
            <w:pPr>
              <w:rPr>
                <w:color w:val="000000"/>
              </w:rPr>
            </w:pPr>
            <w:r w:rsidRPr="003B6C7E">
              <w:rPr>
                <w:b/>
                <w:bCs/>
                <w:color w:val="000000"/>
              </w:rPr>
              <w:t>SO ...................</w:t>
            </w:r>
          </w:p>
        </w:tc>
        <w:tc>
          <w:tcPr>
            <w:tcW w:w="5764" w:type="dxa"/>
            <w:tcBorders>
              <w:right w:val="nil"/>
            </w:tcBorders>
          </w:tcPr>
          <w:p w:rsidR="000B117B" w:rsidRPr="003B6C7E" w:rsidRDefault="000B117B" w:rsidP="00BF6CB7">
            <w:pPr>
              <w:rPr>
                <w:color w:val="000000"/>
              </w:rPr>
            </w:pPr>
            <w:r w:rsidRPr="003B6C7E">
              <w:rPr>
                <w:color w:val="000000"/>
              </w:rPr>
              <w:t xml:space="preserve">Stavební objekt </w:t>
            </w:r>
          </w:p>
        </w:tc>
      </w:tr>
      <w:tr w:rsidR="000B117B" w:rsidRPr="003B6C7E" w:rsidTr="00BF6CB7">
        <w:trPr>
          <w:trHeight w:val="110"/>
        </w:trPr>
        <w:tc>
          <w:tcPr>
            <w:tcW w:w="2943" w:type="dxa"/>
            <w:tcBorders>
              <w:left w:val="nil"/>
            </w:tcBorders>
          </w:tcPr>
          <w:p w:rsidR="000B117B" w:rsidRPr="003B6C7E" w:rsidRDefault="000B117B" w:rsidP="00BF6CB7">
            <w:pPr>
              <w:rPr>
                <w:color w:val="000000"/>
              </w:rPr>
            </w:pPr>
            <w:r w:rsidRPr="003B6C7E">
              <w:rPr>
                <w:b/>
                <w:bCs/>
                <w:color w:val="000000"/>
              </w:rPr>
              <w:t>SOD ................</w:t>
            </w:r>
          </w:p>
        </w:tc>
        <w:tc>
          <w:tcPr>
            <w:tcW w:w="5764" w:type="dxa"/>
            <w:tcBorders>
              <w:right w:val="nil"/>
            </w:tcBorders>
          </w:tcPr>
          <w:p w:rsidR="000B117B" w:rsidRPr="003B6C7E" w:rsidRDefault="000B117B" w:rsidP="00BF6CB7">
            <w:pPr>
              <w:rPr>
                <w:color w:val="000000"/>
              </w:rPr>
            </w:pPr>
            <w:r w:rsidRPr="003B6C7E">
              <w:rPr>
                <w:color w:val="000000"/>
              </w:rPr>
              <w:t xml:space="preserve">Smlouva o dílo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SON ...............</w:t>
            </w:r>
          </w:p>
        </w:tc>
        <w:tc>
          <w:tcPr>
            <w:tcW w:w="5764" w:type="dxa"/>
            <w:tcBorders>
              <w:right w:val="nil"/>
            </w:tcBorders>
          </w:tcPr>
          <w:p w:rsidR="000B117B" w:rsidRPr="003B6C7E" w:rsidRDefault="000B117B" w:rsidP="00BF6CB7">
            <w:pPr>
              <w:rPr>
                <w:color w:val="000000"/>
              </w:rPr>
            </w:pPr>
            <w:r w:rsidRPr="003B6C7E">
              <w:rPr>
                <w:color w:val="000000"/>
              </w:rPr>
              <w:t>Správa osobních nádraží</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SS ..................</w:t>
            </w:r>
          </w:p>
        </w:tc>
        <w:tc>
          <w:tcPr>
            <w:tcW w:w="5764" w:type="dxa"/>
            <w:tcBorders>
              <w:right w:val="nil"/>
            </w:tcBorders>
          </w:tcPr>
          <w:p w:rsidR="000B117B" w:rsidRPr="003B6C7E" w:rsidRDefault="000B117B" w:rsidP="00BF6CB7">
            <w:pPr>
              <w:rPr>
                <w:color w:val="000000"/>
              </w:rPr>
            </w:pPr>
            <w:r w:rsidRPr="003B6C7E">
              <w:rPr>
                <w:color w:val="000000"/>
              </w:rPr>
              <w:t xml:space="preserve">Stavební správa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SŽE .................</w:t>
            </w:r>
          </w:p>
        </w:tc>
        <w:tc>
          <w:tcPr>
            <w:tcW w:w="5764" w:type="dxa"/>
            <w:tcBorders>
              <w:right w:val="nil"/>
            </w:tcBorders>
          </w:tcPr>
          <w:p w:rsidR="000B117B" w:rsidRPr="003B6C7E" w:rsidRDefault="000B117B" w:rsidP="00BF6CB7">
            <w:pPr>
              <w:rPr>
                <w:color w:val="000000"/>
              </w:rPr>
            </w:pPr>
            <w:r w:rsidRPr="003B6C7E">
              <w:rPr>
                <w:color w:val="000000"/>
              </w:rPr>
              <w:t xml:space="preserve">Správa železniční energetiky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SŽDC ..............</w:t>
            </w:r>
          </w:p>
        </w:tc>
        <w:tc>
          <w:tcPr>
            <w:tcW w:w="5764" w:type="dxa"/>
            <w:tcBorders>
              <w:right w:val="nil"/>
            </w:tcBorders>
          </w:tcPr>
          <w:p w:rsidR="000B117B" w:rsidRPr="003B6C7E" w:rsidRDefault="000B117B" w:rsidP="00BF6CB7">
            <w:pPr>
              <w:rPr>
                <w:color w:val="000000"/>
              </w:rPr>
            </w:pPr>
            <w:r w:rsidRPr="003B6C7E">
              <w:rPr>
                <w:color w:val="000000"/>
              </w:rPr>
              <w:t xml:space="preserve">Správa železniční dopravní cesty, státní organizace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TNŽ ................</w:t>
            </w:r>
          </w:p>
        </w:tc>
        <w:tc>
          <w:tcPr>
            <w:tcW w:w="5764" w:type="dxa"/>
            <w:tcBorders>
              <w:right w:val="nil"/>
            </w:tcBorders>
          </w:tcPr>
          <w:p w:rsidR="000B117B" w:rsidRPr="003B6C7E" w:rsidRDefault="000B117B" w:rsidP="00BF6CB7">
            <w:pPr>
              <w:rPr>
                <w:color w:val="000000"/>
              </w:rPr>
            </w:pPr>
            <w:r w:rsidRPr="003B6C7E">
              <w:rPr>
                <w:color w:val="000000"/>
              </w:rPr>
              <w:t xml:space="preserve">Technická norma železnic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TKP .................</w:t>
            </w:r>
          </w:p>
        </w:tc>
        <w:tc>
          <w:tcPr>
            <w:tcW w:w="5764" w:type="dxa"/>
            <w:tcBorders>
              <w:right w:val="nil"/>
            </w:tcBorders>
          </w:tcPr>
          <w:p w:rsidR="000B117B" w:rsidRPr="003B6C7E" w:rsidRDefault="000B117B" w:rsidP="00BF6CB7">
            <w:pPr>
              <w:rPr>
                <w:color w:val="000000"/>
              </w:rPr>
            </w:pPr>
            <w:r w:rsidRPr="003B6C7E">
              <w:rPr>
                <w:color w:val="000000"/>
              </w:rPr>
              <w:t xml:space="preserve">Technické kvalitativní podmínky staveb státních drah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TSI ..................</w:t>
            </w:r>
          </w:p>
        </w:tc>
        <w:tc>
          <w:tcPr>
            <w:tcW w:w="5764" w:type="dxa"/>
            <w:tcBorders>
              <w:right w:val="nil"/>
            </w:tcBorders>
          </w:tcPr>
          <w:p w:rsidR="000B117B" w:rsidRPr="003B6C7E" w:rsidRDefault="000B117B" w:rsidP="00BF6CB7">
            <w:pPr>
              <w:rPr>
                <w:color w:val="000000"/>
              </w:rPr>
            </w:pPr>
            <w:r w:rsidRPr="003B6C7E">
              <w:rPr>
                <w:color w:val="000000"/>
              </w:rPr>
              <w:t xml:space="preserve">Technické specifikace pro interoperabilitu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ÚR ..................</w:t>
            </w:r>
          </w:p>
        </w:tc>
        <w:tc>
          <w:tcPr>
            <w:tcW w:w="5764" w:type="dxa"/>
            <w:tcBorders>
              <w:right w:val="nil"/>
            </w:tcBorders>
          </w:tcPr>
          <w:p w:rsidR="000B117B" w:rsidRPr="003B6C7E" w:rsidRDefault="000B117B" w:rsidP="00BF6CB7">
            <w:pPr>
              <w:rPr>
                <w:color w:val="000000"/>
              </w:rPr>
            </w:pPr>
            <w:r w:rsidRPr="003B6C7E">
              <w:rPr>
                <w:color w:val="000000"/>
              </w:rPr>
              <w:t xml:space="preserve">Územní rozhodnutí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ÚRS ...............</w:t>
            </w:r>
          </w:p>
        </w:tc>
        <w:tc>
          <w:tcPr>
            <w:tcW w:w="5764" w:type="dxa"/>
            <w:tcBorders>
              <w:right w:val="nil"/>
            </w:tcBorders>
          </w:tcPr>
          <w:p w:rsidR="000B117B" w:rsidRPr="003B6C7E" w:rsidRDefault="000B117B" w:rsidP="00BF6CB7">
            <w:pPr>
              <w:rPr>
                <w:color w:val="000000"/>
              </w:rPr>
            </w:pPr>
            <w:r w:rsidRPr="003B6C7E">
              <w:rPr>
                <w:color w:val="000000"/>
              </w:rPr>
              <w:t xml:space="preserve">Označení ceníku stavebních prací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VRN ................</w:t>
            </w:r>
          </w:p>
          <w:p w:rsidR="000B117B" w:rsidRPr="003B6C7E" w:rsidRDefault="000B117B" w:rsidP="00BF6CB7">
            <w:pPr>
              <w:rPr>
                <w:b/>
                <w:bCs/>
                <w:color w:val="000000"/>
              </w:rPr>
            </w:pPr>
            <w:r w:rsidRPr="003B6C7E">
              <w:rPr>
                <w:b/>
                <w:bCs/>
                <w:color w:val="000000"/>
              </w:rPr>
              <w:t>VTP…………..</w:t>
            </w:r>
          </w:p>
        </w:tc>
        <w:tc>
          <w:tcPr>
            <w:tcW w:w="5764" w:type="dxa"/>
            <w:tcBorders>
              <w:right w:val="nil"/>
            </w:tcBorders>
          </w:tcPr>
          <w:p w:rsidR="000B117B" w:rsidRPr="003B6C7E" w:rsidRDefault="000B117B" w:rsidP="00BF6CB7">
            <w:pPr>
              <w:rPr>
                <w:color w:val="000000"/>
              </w:rPr>
            </w:pPr>
            <w:r w:rsidRPr="003B6C7E">
              <w:rPr>
                <w:color w:val="000000"/>
              </w:rPr>
              <w:t>Vedlejší rozpočtové náklady</w:t>
            </w:r>
          </w:p>
          <w:p w:rsidR="000B117B" w:rsidRPr="003B6C7E" w:rsidRDefault="000B117B" w:rsidP="00BF6CB7">
            <w:pPr>
              <w:rPr>
                <w:color w:val="000000"/>
              </w:rPr>
            </w:pPr>
            <w:r w:rsidRPr="003B6C7E">
              <w:rPr>
                <w:color w:val="000000"/>
              </w:rPr>
              <w:t xml:space="preserve">Všeobecné technické podmínky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ZP ...................</w:t>
            </w:r>
          </w:p>
        </w:tc>
        <w:tc>
          <w:tcPr>
            <w:tcW w:w="5764" w:type="dxa"/>
            <w:tcBorders>
              <w:right w:val="nil"/>
            </w:tcBorders>
          </w:tcPr>
          <w:p w:rsidR="000B117B" w:rsidRPr="003B6C7E" w:rsidRDefault="000B117B" w:rsidP="00BF6CB7">
            <w:pPr>
              <w:rPr>
                <w:color w:val="000000"/>
              </w:rPr>
            </w:pPr>
            <w:r w:rsidRPr="003B6C7E">
              <w:rPr>
                <w:color w:val="000000"/>
              </w:rPr>
              <w:t xml:space="preserve">Záměr projektu </w:t>
            </w:r>
          </w:p>
        </w:tc>
      </w:tr>
      <w:tr w:rsidR="000B117B" w:rsidRPr="003B6C7E" w:rsidTr="00BF6CB7">
        <w:trPr>
          <w:trHeight w:val="110"/>
        </w:trPr>
        <w:tc>
          <w:tcPr>
            <w:tcW w:w="2943" w:type="dxa"/>
            <w:tcBorders>
              <w:left w:val="nil"/>
            </w:tcBorders>
          </w:tcPr>
          <w:p w:rsidR="000B117B" w:rsidRPr="003B6C7E" w:rsidRDefault="000B117B" w:rsidP="00BF6CB7">
            <w:pPr>
              <w:rPr>
                <w:b/>
                <w:bCs/>
                <w:color w:val="000000"/>
              </w:rPr>
            </w:pPr>
            <w:r w:rsidRPr="003B6C7E">
              <w:rPr>
                <w:b/>
                <w:bCs/>
                <w:color w:val="000000"/>
              </w:rPr>
              <w:t>ZTP .................</w:t>
            </w:r>
          </w:p>
        </w:tc>
        <w:tc>
          <w:tcPr>
            <w:tcW w:w="5764" w:type="dxa"/>
            <w:tcBorders>
              <w:right w:val="nil"/>
            </w:tcBorders>
          </w:tcPr>
          <w:p w:rsidR="000B117B" w:rsidRPr="003B6C7E" w:rsidRDefault="000B117B" w:rsidP="00BF6CB7">
            <w:pPr>
              <w:rPr>
                <w:color w:val="000000"/>
              </w:rPr>
            </w:pPr>
            <w:r w:rsidRPr="003B6C7E">
              <w:rPr>
                <w:color w:val="000000"/>
              </w:rPr>
              <w:t xml:space="preserve">Zvláštní technické podmínky </w:t>
            </w:r>
          </w:p>
        </w:tc>
      </w:tr>
    </w:tbl>
    <w:p w:rsidR="000B117B" w:rsidRPr="003B6C7E" w:rsidRDefault="000B117B" w:rsidP="000B117B">
      <w:pPr>
        <w:rPr>
          <w:b/>
        </w:rPr>
      </w:pPr>
    </w:p>
    <w:p w:rsidR="000B117B" w:rsidRPr="003B6C7E" w:rsidRDefault="000B117B" w:rsidP="000B117B">
      <w:pPr>
        <w:rPr>
          <w:b/>
        </w:rPr>
      </w:pPr>
      <w:r w:rsidRPr="003B6C7E">
        <w:rPr>
          <w:b/>
        </w:rPr>
        <w:t>Pojmy s velkým počátečním písmenem, které nejsou definovány v těchto Všeobecných technických podmínkách, mají význam uvedený v Obchodních podmínkách, které tvoří Přílohu č. 2 Smlouvy.</w:t>
      </w:r>
    </w:p>
    <w:p w:rsidR="000B117B" w:rsidRDefault="000B117B" w:rsidP="000B117B"/>
    <w:p w:rsidR="000B117B" w:rsidRDefault="000B117B" w:rsidP="000B117B"/>
    <w:p w:rsidR="000B117B" w:rsidRDefault="000B117B" w:rsidP="000B117B"/>
    <w:p w:rsidR="000B117B" w:rsidRDefault="000B117B" w:rsidP="000B117B"/>
    <w:p w:rsidR="000B117B" w:rsidRDefault="000B117B" w:rsidP="000B117B"/>
    <w:p w:rsidR="000B117B" w:rsidRDefault="000B117B" w:rsidP="000B117B"/>
    <w:p w:rsidR="000B117B" w:rsidRPr="003B6C7E" w:rsidRDefault="000B117B" w:rsidP="000B117B">
      <w:pPr>
        <w:pStyle w:val="Odstavecseseznamem"/>
        <w:autoSpaceDE w:val="0"/>
        <w:autoSpaceDN w:val="0"/>
        <w:adjustRightInd w:val="0"/>
        <w:ind w:left="426" w:hanging="357"/>
        <w:jc w:val="both"/>
        <w:rPr>
          <w:b/>
        </w:rPr>
      </w:pPr>
      <w:r w:rsidRPr="003B6C7E">
        <w:rPr>
          <w:b/>
        </w:rPr>
        <w:t xml:space="preserve">ÚVOD </w:t>
      </w:r>
    </w:p>
    <w:p w:rsidR="000B117B" w:rsidRPr="003B6C7E" w:rsidRDefault="000B117B" w:rsidP="000B117B">
      <w:pPr>
        <w:pStyle w:val="Default"/>
        <w:numPr>
          <w:ilvl w:val="1"/>
          <w:numId w:val="1"/>
        </w:numPr>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Pojmy a definice </w:t>
      </w:r>
    </w:p>
    <w:p w:rsidR="000B117B" w:rsidRPr="003B6C7E" w:rsidRDefault="000B117B" w:rsidP="000B117B">
      <w:pPr>
        <w:pStyle w:val="Default"/>
        <w:numPr>
          <w:ilvl w:val="2"/>
          <w:numId w:val="2"/>
        </w:numPr>
        <w:spacing w:before="120"/>
        <w:ind w:left="1417" w:hanging="697"/>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lastRenderedPageBreak/>
        <w:t>Všeobecné technické podmínky</w:t>
      </w:r>
      <w:r w:rsidRPr="003B6C7E">
        <w:rPr>
          <w:rFonts w:ascii="Times New Roman" w:hAnsi="Times New Roman" w:cs="Times New Roman"/>
          <w:color w:val="auto"/>
          <w:sz w:val="22"/>
          <w:szCs w:val="22"/>
        </w:rPr>
        <w:t xml:space="preserve"> (dále VTP) jsou jedním ze základních dokumentů ze souboru dokumentů „Technické podmínky“, které jsou přílohou Smlouvy o dílo.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Technické podmínky</w:t>
      </w:r>
      <w:r w:rsidRPr="003B6C7E">
        <w:rPr>
          <w:rFonts w:ascii="Times New Roman" w:hAnsi="Times New Roman" w:cs="Times New Roman"/>
          <w:color w:val="auto"/>
          <w:sz w:val="22"/>
          <w:szCs w:val="22"/>
        </w:rPr>
        <w:t xml:space="preserve"> jsou souborem dokumentů s požadavky Objednatele na provedení Díla. Základními dokumenty tohoto souboru jsou Směrnice SŽDC č. 11/2006, Všeobecné technické podmínky a Zvláštní technické podmínky.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VTP doplňují a upřesňují</w:t>
      </w:r>
      <w:r w:rsidRPr="003B6C7E">
        <w:rPr>
          <w:rFonts w:ascii="Times New Roman" w:hAnsi="Times New Roman" w:cs="Times New Roman"/>
          <w:color w:val="auto"/>
          <w:sz w:val="22"/>
          <w:szCs w:val="22"/>
        </w:rPr>
        <w:t xml:space="preserve"> všechny obecné požadavky Objednatele na zhotovení Díla a vycházejí z aktuálních interních dokumentů a předpisů, směrnic, norem a zaváděcích listů SŽDC, obecně platných technických norem a obecně závazných právních předpisů, zákonů a vyhlášek právního řádu v aktuálním znění.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 xml:space="preserve">Zvláštní technické podmínky </w:t>
      </w:r>
      <w:r w:rsidRPr="003B6C7E">
        <w:rPr>
          <w:rFonts w:ascii="Times New Roman" w:hAnsi="Times New Roman" w:cs="Times New Roman"/>
          <w:color w:val="auto"/>
          <w:sz w:val="22"/>
          <w:szCs w:val="22"/>
        </w:rPr>
        <w:t xml:space="preserve">(ZTP), jsou vydávány pro každou zakázku zvlášť a definují další parametry díla a upřesňují konkrétní podmínky a specifické požadavky pro zhotovení Díla.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VTP vychází z aktuálního stavu uvedených právních předpisů, technických norem a interních dokumentů a předpisů v době vydání VTP. Zhotovitel odpovídá za použití aktuální verze výchozích podkladů.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Ustanovení Zvláštních technických podmínek mají přednost před ustanovením Všeobecných technických podmínek, pokud jsou ustanovení VTP a ZTP v rozporu, uplatní se ustanovení uvedené v ZTP. </w:t>
      </w:r>
    </w:p>
    <w:p w:rsidR="000B117B" w:rsidRPr="003B6C7E" w:rsidRDefault="000B117B" w:rsidP="000B117B">
      <w:pPr>
        <w:pStyle w:val="Default"/>
        <w:numPr>
          <w:ilvl w:val="1"/>
          <w:numId w:val="2"/>
        </w:numPr>
        <w:spacing w:before="120"/>
        <w:ind w:left="788" w:hanging="431"/>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Úvodní ustanovení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jakékoliv nejistoty ohledně výkladu některého ujednání těchto podmínek strany sjednávají, že se takové nejasné ujednání vyloží primárně dle vůle stran obsažené v SOD případně Obchodních podmínkách. Při výkladu těchto Všeobecných technických podmínek se dále bude přihlížet k tomu, že jejich obsahem jsou ujednání stran týkající se plnění veřejnoprávních povinností spojených s prováděním Díla. Výklad nejasných ujednání těchto Všeobecných technických podmínek tedy bude vždy směřovat k tomu, aby byly především naplněny všechny veřejnoprávní povinnosti s Dílem spojené a dále k tomu, aby postup obou smluvních stran odpovídal Zvyklostem panujícím při provádění děl tohoto druhu.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Projektem stavby, dále též (P), se rozumí projektová dokumentace stavby dle interního předpisu Objednatele Směrnice č. 11/2006 a ve smyslu přílohy č. 5 (příp. přílohy č. 6) vyhlášky č. 499/2006 Sb. o dokumentaci staveb, na úrovni dokumentace pro provádění stavby, určující stavbu do technických, ekonomických a architektonických podrobností, které jsou jednoznačně vymezeny předmětem veřejné zakázky dle zadávací dokumentace. Jeho hmotové, materiálové, stavebnětechnické, technologické, dispoziční a provozní vlastnosti a jakost zohledňují vliv stavby na životní prostředí a umožňují vyhotovení soupisu prací s výkazem výměr, podrobného položkového rozpočtu jednotlivých SO a PS a souhrnného rozpočtu stavby. Dokumentace bude vypracována v českém jazyce.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povinnosti Zhotovitele jsou veškeré činnosti a doklady zajišťující komplexní veřejnoprávní projednání a zajištění všech potřebných podkladů a certifikátů nutných k vydání stavebního povolení dle platné legislativy.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povinnosti Zhotovitele je i provádění Autorského dozoru projektanta dle požadavků zákona o výkonu povolání autorizovaných architektů a o výkonu povolání autorizovaných inženýrů a techniků činných ve výstavbě v platném znění. </w:t>
      </w:r>
    </w:p>
    <w:p w:rsidR="000B117B" w:rsidRDefault="000B117B" w:rsidP="000B117B">
      <w:pPr>
        <w:pStyle w:val="Default"/>
        <w:numPr>
          <w:ilvl w:val="2"/>
          <w:numId w:val="2"/>
        </w:numPr>
        <w:spacing w:before="60"/>
        <w:ind w:left="1417" w:hanging="697"/>
        <w:jc w:val="both"/>
        <w:rPr>
          <w:rFonts w:ascii="Times New Roman" w:hAnsi="Times New Roman" w:cs="Times New Roman"/>
        </w:rPr>
      </w:pPr>
      <w:r w:rsidRPr="003B6C7E">
        <w:rPr>
          <w:rFonts w:ascii="Times New Roman" w:hAnsi="Times New Roman" w:cs="Times New Roman"/>
          <w:color w:val="auto"/>
          <w:sz w:val="22"/>
          <w:szCs w:val="22"/>
        </w:rPr>
        <w:t>Součástí povinnosti Zhotovitele je i zajištěné veškerých činností koordinátora bezpečnosti a ochrany zdraví při práci na staveništi ve fázi přípravy, tj. při zpracování Projektu stavby, a to v souladu s platnou legislativou.</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rPr>
      </w:pP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Součástí povinnosti zhotovitele je i zajištění technických podkladů pro vypracování zadávací dokumentace pro výběr zhotovitele ve fázi realizace stavby (Zvláštní technické podmínky pro zhotovení stavby).</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Součástí povinnosti zhotovitele je i vypracování návrhu žádosti o spolufinancování předmětné stavby z fondu EU, včetně vypořádání připomínek hodnotitelů žádosti, a to až do vydání rozhodnutí o přidělení dotace, příp. rozhodnutí o zamítnutí žádosti. Zhotovitel veškeré tyto náklady započte do celkové ceny díla dle SOD.</w:t>
      </w:r>
    </w:p>
    <w:p w:rsidR="000B117B" w:rsidRPr="003B6C7E" w:rsidRDefault="000B117B" w:rsidP="000B117B">
      <w:pPr>
        <w:pStyle w:val="Default"/>
        <w:numPr>
          <w:ilvl w:val="0"/>
          <w:numId w:val="2"/>
        </w:numPr>
        <w:spacing w:before="240"/>
        <w:ind w:left="357" w:hanging="357"/>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VŠEOBECNÁ USTANOVENÍ </w:t>
      </w:r>
    </w:p>
    <w:p w:rsidR="000B117B" w:rsidRPr="003B6C7E" w:rsidRDefault="000B117B" w:rsidP="000B117B">
      <w:pPr>
        <w:pStyle w:val="Default"/>
        <w:numPr>
          <w:ilvl w:val="1"/>
          <w:numId w:val="2"/>
        </w:numPr>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Pokyny pro odevzdání projektu stavby</w:t>
      </w:r>
      <w:r w:rsidRPr="003B6C7E">
        <w:rPr>
          <w:rFonts w:ascii="Times New Roman" w:hAnsi="Times New Roman" w:cs="Times New Roman"/>
          <w:color w:val="auto"/>
          <w:sz w:val="22"/>
          <w:szCs w:val="22"/>
        </w:rPr>
        <w:t xml:space="preserve"> </w:t>
      </w:r>
    </w:p>
    <w:p w:rsidR="000B117B" w:rsidRPr="003B6C7E" w:rsidRDefault="000B117B" w:rsidP="000B117B">
      <w:pPr>
        <w:pStyle w:val="Default"/>
        <w:numPr>
          <w:ilvl w:val="2"/>
          <w:numId w:val="2"/>
        </w:numPr>
        <w:spacing w:before="12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Dle požadavku Smlouvy o dílo (SOD), bude provedeno odevzdání v listinné a elektronická formě v dílčím termínu a v definitivním termínu dokončení Díla.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Ke každému dílčímu termínu bude provedeno odevzdání dokumentace odpovídající stupni rozpracovanosti dle požadavků SOD (viz příloha č. 5 – Harmonogram plnění), na základě projednaného technického řešení, a to v listinné formě v počtu </w:t>
      </w:r>
      <w:r w:rsidRPr="003B6C7E">
        <w:rPr>
          <w:rFonts w:ascii="Times New Roman" w:hAnsi="Times New Roman" w:cs="Times New Roman"/>
          <w:b/>
          <w:color w:val="auto"/>
          <w:sz w:val="22"/>
          <w:szCs w:val="22"/>
        </w:rPr>
        <w:t>dvou souprav</w:t>
      </w:r>
      <w:r w:rsidRPr="003B6C7E">
        <w:rPr>
          <w:rFonts w:ascii="Times New Roman" w:hAnsi="Times New Roman" w:cs="Times New Roman"/>
          <w:color w:val="auto"/>
          <w:sz w:val="22"/>
          <w:szCs w:val="22"/>
        </w:rPr>
        <w:t xml:space="preserve">, (pokud není v ZTP stanoveno jinak) a v elektronické formě v počtu </w:t>
      </w:r>
      <w:r w:rsidRPr="003B6C7E">
        <w:rPr>
          <w:rFonts w:ascii="Times New Roman" w:hAnsi="Times New Roman" w:cs="Times New Roman"/>
          <w:b/>
          <w:color w:val="auto"/>
          <w:sz w:val="22"/>
          <w:szCs w:val="22"/>
        </w:rPr>
        <w:t>2 x CD (DVD)</w:t>
      </w:r>
      <w:r w:rsidRPr="003B6C7E">
        <w:rPr>
          <w:rFonts w:ascii="Times New Roman" w:hAnsi="Times New Roman" w:cs="Times New Roman"/>
          <w:color w:val="auto"/>
          <w:sz w:val="22"/>
          <w:szCs w:val="22"/>
        </w:rPr>
        <w:t xml:space="preserve">. Odevzdání v elektronické formě bude provedeno v uzavřeném formátu (dle 2.1.5).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Odevzdání dokumentace stavby k odbornému připomínkovému řízení, které je součástí akceptace Díla Objednatelem ve smyslu SOD, bude provedeno v listinné a elektronické formě. Odevzdání v elektronické formě bude provedeno v uzavřeném formátu (viz 2.1.5), které bude doručeno společně s pozvánkou na konferenční projednání připomínek stavby (viz. 2.2.6). Elektronická dokumentace bude obsahově a strukturou plně odpovídat členění listinné formy dokumentace. Rozsah odevzdání listinné a elektronické dokumentace bude proveden v takovém počtu, který dostatečně zajistí včasné a odborné projednání s určenými zástupci Objednatele a dalšími dotčenými osobami (viz 2.2.6 a 2.3). Mimo tento počet Objednatel obdrží dokumentaci v listinné formě v počtu </w:t>
      </w:r>
      <w:r w:rsidRPr="003B6C7E">
        <w:rPr>
          <w:rFonts w:ascii="Times New Roman" w:hAnsi="Times New Roman" w:cs="Times New Roman"/>
          <w:b/>
          <w:color w:val="auto"/>
          <w:sz w:val="22"/>
          <w:szCs w:val="22"/>
        </w:rPr>
        <w:t>dvou souprav</w:t>
      </w:r>
      <w:r w:rsidRPr="003B6C7E">
        <w:rPr>
          <w:rFonts w:ascii="Times New Roman" w:hAnsi="Times New Roman" w:cs="Times New Roman"/>
          <w:color w:val="auto"/>
          <w:sz w:val="22"/>
          <w:szCs w:val="22"/>
        </w:rPr>
        <w:t xml:space="preserve"> a v elektronické uzavřené formě v počtu </w:t>
      </w:r>
      <w:r w:rsidRPr="003B6C7E">
        <w:rPr>
          <w:rFonts w:ascii="Times New Roman" w:hAnsi="Times New Roman" w:cs="Times New Roman"/>
          <w:b/>
          <w:color w:val="auto"/>
          <w:sz w:val="22"/>
          <w:szCs w:val="22"/>
        </w:rPr>
        <w:t>2 x CD (DVD)</w:t>
      </w:r>
      <w:r w:rsidRPr="003B6C7E">
        <w:rPr>
          <w:rFonts w:ascii="Times New Roman" w:hAnsi="Times New Roman" w:cs="Times New Roman"/>
          <w:color w:val="auto"/>
          <w:sz w:val="22"/>
          <w:szCs w:val="22"/>
        </w:rPr>
        <w:t xml:space="preserve">. Požadovaný rozsah odevzdání je zahrnut do Ceny Díla.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Definitivní odevzdání dokumentace, dle SOD, bude provedeno v listinné formě v počtu </w:t>
      </w:r>
      <w:r w:rsidRPr="003B6C7E">
        <w:rPr>
          <w:rFonts w:ascii="Times New Roman" w:hAnsi="Times New Roman" w:cs="Times New Roman"/>
          <w:b/>
          <w:color w:val="auto"/>
          <w:sz w:val="22"/>
          <w:szCs w:val="22"/>
        </w:rPr>
        <w:t>šesti souprav</w:t>
      </w:r>
      <w:r w:rsidRPr="003B6C7E">
        <w:rPr>
          <w:rFonts w:ascii="Times New Roman" w:hAnsi="Times New Roman" w:cs="Times New Roman"/>
          <w:color w:val="auto"/>
          <w:sz w:val="22"/>
          <w:szCs w:val="22"/>
        </w:rPr>
        <w:t xml:space="preserve">, se zapracováním veškerých požadavků a připomínek SŽDC a dalších dotčených osob a veškerých požadavků vzešlých z konferenčního projednání (viz. 2.2.6), včetně požadavků vzešlých ze strany dotčených orgánů státní správy v procesu stavebního řízení.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Odevzdání dokumentace, dle SOD, bude v elektronické formě provedeno následovně: </w:t>
      </w:r>
    </w:p>
    <w:p w:rsidR="000B117B" w:rsidRPr="003B6C7E" w:rsidRDefault="000B117B" w:rsidP="000B117B">
      <w:pPr>
        <w:pStyle w:val="Default"/>
        <w:numPr>
          <w:ilvl w:val="0"/>
          <w:numId w:val="3"/>
        </w:numPr>
        <w:spacing w:before="60"/>
        <w:ind w:left="1843" w:hanging="357"/>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2 x CD (DVD)</w:t>
      </w:r>
      <w:r w:rsidRPr="003B6C7E">
        <w:rPr>
          <w:rFonts w:ascii="Times New Roman" w:hAnsi="Times New Roman" w:cs="Times New Roman"/>
          <w:color w:val="auto"/>
          <w:sz w:val="22"/>
          <w:szCs w:val="22"/>
        </w:rPr>
        <w:t xml:space="preserve"> – struktura TreeInfo, kompletní otevřená a uzavřená forma, bez rozpočtů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2 x CD (DVD)</w:t>
      </w:r>
      <w:r w:rsidRPr="003B6C7E">
        <w:rPr>
          <w:rFonts w:ascii="Times New Roman" w:hAnsi="Times New Roman" w:cs="Times New Roman"/>
          <w:color w:val="auto"/>
          <w:sz w:val="22"/>
          <w:szCs w:val="22"/>
        </w:rPr>
        <w:t xml:space="preserve"> – dokumentace stavby v kompletní otevřené a uzavřené formě, bez rozpočtů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2 x CD (DVD)</w:t>
      </w:r>
      <w:r w:rsidRPr="003B6C7E">
        <w:rPr>
          <w:rFonts w:ascii="Times New Roman" w:hAnsi="Times New Roman" w:cs="Times New Roman"/>
          <w:color w:val="auto"/>
          <w:sz w:val="22"/>
          <w:szCs w:val="22"/>
        </w:rPr>
        <w:t xml:space="preserve"> – soupis prací (oceněný a neoceněný) v otevřené a uzavřené formě </w:t>
      </w:r>
    </w:p>
    <w:p w:rsidR="000B117B" w:rsidRPr="003B6C7E" w:rsidRDefault="000B117B" w:rsidP="000B117B">
      <w:pPr>
        <w:pStyle w:val="Default"/>
        <w:spacing w:before="120"/>
        <w:ind w:left="141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struktura digitální formy odevzdání musí odpovídat stanovenému softwaru Objednatele: </w:t>
      </w:r>
    </w:p>
    <w:p w:rsidR="000B117B" w:rsidRPr="003B6C7E" w:rsidRDefault="000B117B" w:rsidP="000B117B">
      <w:pPr>
        <w:pStyle w:val="Default"/>
        <w:numPr>
          <w:ilvl w:val="0"/>
          <w:numId w:val="3"/>
        </w:numPr>
        <w:spacing w:before="60"/>
        <w:ind w:left="1843" w:hanging="357"/>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otevřená forma</w:t>
      </w:r>
      <w:r w:rsidRPr="003B6C7E">
        <w:rPr>
          <w:rFonts w:ascii="Times New Roman" w:hAnsi="Times New Roman" w:cs="Times New Roman"/>
          <w:color w:val="auto"/>
          <w:sz w:val="22"/>
          <w:szCs w:val="22"/>
        </w:rPr>
        <w:t xml:space="preserve"> (editovatelná): textové části ve formátu *.DOC; souřadnicové, výpočtové a rozpočtové části ve formátu *.XLS, </w:t>
      </w:r>
      <w:r w:rsidRPr="003B6C7E">
        <w:rPr>
          <w:rFonts w:ascii="Times New Roman" w:hAnsi="Times New Roman" w:cs="Times New Roman"/>
          <w:b/>
          <w:color w:val="auto"/>
          <w:sz w:val="22"/>
          <w:szCs w:val="22"/>
        </w:rPr>
        <w:t>oceněný soupis prací ve formátu *.XLS a formátu *.XML (datový předpis XC4, viz www.xc4.cz)</w:t>
      </w:r>
      <w:r w:rsidRPr="003B6C7E">
        <w:rPr>
          <w:rFonts w:ascii="Times New Roman" w:hAnsi="Times New Roman" w:cs="Times New Roman"/>
          <w:color w:val="auto"/>
          <w:sz w:val="22"/>
          <w:szCs w:val="22"/>
        </w:rPr>
        <w:t xml:space="preserve">; výkresové části ve formátu </w:t>
      </w:r>
      <w:r w:rsidRPr="003B6C7E">
        <w:rPr>
          <w:rFonts w:ascii="Times New Roman" w:hAnsi="Times New Roman" w:cs="Times New Roman"/>
          <w:b/>
          <w:color w:val="auto"/>
          <w:sz w:val="22"/>
          <w:szCs w:val="22"/>
        </w:rPr>
        <w:t>*. DGN a *.DWG</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uzavřená forma: ve formátu *.PDF</w:t>
      </w:r>
      <w:r w:rsidRPr="003B6C7E">
        <w:rPr>
          <w:rFonts w:ascii="Times New Roman" w:hAnsi="Times New Roman" w:cs="Times New Roman"/>
          <w:color w:val="auto"/>
          <w:sz w:val="22"/>
          <w:szCs w:val="22"/>
        </w:rPr>
        <w:t xml:space="preserv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Zhotovitel ručí za shodu dokumentace v uzavřené a otevřené formě. Elektronická dokumentace bude obsahově a strukturou plně odpovídat listinné formě.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Součásti každé soupravy bude soupis stavebních prací, dodávek a služeb s neoceněným výkazem výměr v rozsahu a podrobnostech stanoveném příslušným prováděcím právním předpisem.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Součástí dokumentace bude i zpracování a odevzdání rozpočtu stavby, jednotlivých SO a PS včetně souhrnného rozpočtu stavby k příslušnému roku zahájení a ukončení stavby, a to samostatně v listinné a digitální formě.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Čistopis definitivního odevzdání dokumentace dle 2.1.4 bude autorizován a číslován dle pokynů Objednavatele, minimálně však v šesti soupravách. Na koordinačních výkresech bude potvrzení Zhotovitele o provedení podrobné koordinace jednotlivých stavebních objektů a provozních souborů stavby, případně koordinace s dotčenými souvisejícími stavbami s otiskem razítka odpovědné autorizované osoby vedoucího týmu Zhotovitele.</w:t>
      </w:r>
    </w:p>
    <w:p w:rsidR="000B117B" w:rsidRPr="003B6C7E" w:rsidRDefault="000B117B" w:rsidP="000B117B">
      <w:pPr>
        <w:pStyle w:val="Default"/>
        <w:numPr>
          <w:ilvl w:val="1"/>
          <w:numId w:val="2"/>
        </w:numPr>
        <w:spacing w:before="120"/>
        <w:ind w:left="788" w:hanging="431"/>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Pokyny k projednání projektu stavby a akceptaci díla </w:t>
      </w:r>
    </w:p>
    <w:p w:rsidR="000B117B" w:rsidRPr="003B6C7E" w:rsidRDefault="000B117B" w:rsidP="000B117B">
      <w:pPr>
        <w:pStyle w:val="Default"/>
        <w:numPr>
          <w:ilvl w:val="2"/>
          <w:numId w:val="2"/>
        </w:numPr>
        <w:spacing w:before="12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Dokumentace bude řádně projednána, a to jak po stránce technické a obsahové, tak po stránce legislativní. Technická a obsahová náplň bude projednána se zástupci Objednatele a s dalšími osobami Objednatelem určenými. Legislativní rozsah projednání s dotčenými orgány a osobami je dán obecně platnou legislativou, případně dalšími požadavky příslušného stavebního úřadu, který vydává stavební povolení. Zároveň musí splňovat požadavky platných dokumentů a předpisů SŽDC.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Poradu na projednání dokumentace může svolat Objednatel nebo Zhotovitel. V případě potřeby může Objednatele nebo Zhotovitele o svolání jednání požádat organizační složky SŽDC. Na každé projednání musí být pozván zástupce Objednatele, pokud nebude výslovně SOD zmocněn pro konkrétní jednání Zhotovitel.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Vstupní projednání - při zahájení projekčních prací svolá Zhotovitel vstupní jednání se zástupci Objednatele a s dalšími, Objednatelem určenými osobami (viz. 2.3). Vstupní projednání může mít i formu místního šetření.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Pracovní projednání - odborné otázky navrženého technického řešení, v průběhu projekčních prací, bude zástupce Zhotovitele řešit na profesních poradách a konzultacích, i elektronických konzultacích, které bude provádět a svolávat podle potřeby. Pro každou profesní oblast činnosti musí být svolána minimálně jedna odborná profesní porada. Legislativní část lze projednat formou písemné žádosti – vyjádření, pokud výsledkem takovéto formy projednání bude jednoznačné souhlasné stanovisko.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Závěrečné projednání – bude provedeno před stanoveným termínem definitivního odevzdání (viz. 2.1.4) s určenými zástupci Objednatele, kteří se účastnili předešlých projednávání, a byli seznámení s obsahem dokumentace. Může být provedeno formou konferenčního projednání, nebo jako závěrečné profesní projednání.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Konferenční projednání připomínek bude provedeno jako projednání odborných vyjádření, připomínek a požadavků určených zástupců Objednatele, kteří se účastnili předešlých projednávání, a byli seznámeni s obsahem dokumentace, případně byli jinak obeznámeni s obsahem a rozsahem dokumentace a vznesli předmětné připomínky. Odborná vyjádření k návrhu technického řešení zajistí Zhotovitel na základě žádosti Objednatele. </w:t>
      </w:r>
      <w:r w:rsidRPr="003B6C7E">
        <w:rPr>
          <w:rFonts w:ascii="Times New Roman" w:hAnsi="Times New Roman" w:cs="Times New Roman"/>
          <w:b/>
          <w:color w:val="auto"/>
          <w:sz w:val="22"/>
          <w:szCs w:val="22"/>
        </w:rPr>
        <w:t>Odpovědný zástupce Objednatele</w:t>
      </w:r>
      <w:r w:rsidRPr="003B6C7E">
        <w:rPr>
          <w:rFonts w:ascii="Times New Roman" w:hAnsi="Times New Roman" w:cs="Times New Roman"/>
          <w:color w:val="auto"/>
          <w:sz w:val="22"/>
          <w:szCs w:val="22"/>
        </w:rPr>
        <w:t xml:space="preserve"> vyhotoví a předá žádost Zhotoviteli v listinné nebo v elektronické formě a </w:t>
      </w:r>
      <w:r w:rsidRPr="003B6C7E">
        <w:rPr>
          <w:rFonts w:ascii="Times New Roman" w:hAnsi="Times New Roman" w:cs="Times New Roman"/>
          <w:b/>
          <w:color w:val="auto"/>
          <w:sz w:val="22"/>
          <w:szCs w:val="22"/>
        </w:rPr>
        <w:t>určí požadavky na rozsah elektronické a listinné formy předkládané dokumentace.</w:t>
      </w:r>
      <w:r w:rsidRPr="003B6C7E">
        <w:rPr>
          <w:rFonts w:ascii="Times New Roman" w:hAnsi="Times New Roman" w:cs="Times New Roman"/>
          <w:color w:val="auto"/>
          <w:sz w:val="22"/>
          <w:szCs w:val="22"/>
        </w:rPr>
        <w:t xml:space="preserve"> Zhotovitel zajistí předání (P) v listinné a elektronické formě určeným odborným složkám zástupců Objednatele, včetně kopie žádosti. Potvrzené kopie žádostí budou předány Objednateli.</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dokumentace bude </w:t>
      </w:r>
      <w:r w:rsidRPr="003B6C7E">
        <w:rPr>
          <w:rFonts w:ascii="Times New Roman" w:hAnsi="Times New Roman" w:cs="Times New Roman"/>
          <w:b/>
          <w:color w:val="auto"/>
          <w:sz w:val="22"/>
          <w:szCs w:val="22"/>
        </w:rPr>
        <w:t>i komplexní veřejnoprávní projednání a inženýrsko-investorská činnost</w:t>
      </w:r>
      <w:r w:rsidRPr="003B6C7E">
        <w:rPr>
          <w:rFonts w:ascii="Times New Roman" w:hAnsi="Times New Roman" w:cs="Times New Roman"/>
          <w:color w:val="auto"/>
          <w:sz w:val="22"/>
          <w:szCs w:val="22"/>
        </w:rPr>
        <w:t xml:space="preserve"> prováděná na základě plné moci Objednatele, včetně zajištění vydání stavebního povolení dle platné legislativy a veškerých požadovaných certifikátů o shodě, vydávaných notifikovanou osobou v souladu s platnými směrnicemi Evropského parlamentu a Rady o interoperabilitě konvenčního železničního systému případně zajištění dalších posouzení vydávaných notifikovanou osobou nezbytných k vydání stavebního povolení. Podmínku interoperability musí Zhotovitel notifikovat akreditovanou osobou. Zhotovitel dokumentaci zpracuje tak, </w:t>
      </w:r>
      <w:r w:rsidRPr="003B6C7E">
        <w:rPr>
          <w:rFonts w:ascii="Times New Roman" w:hAnsi="Times New Roman" w:cs="Times New Roman"/>
          <w:color w:val="auto"/>
          <w:sz w:val="22"/>
          <w:szCs w:val="22"/>
        </w:rPr>
        <w:lastRenderedPageBreak/>
        <w:t xml:space="preserve">aby bylo možné na základě vydaného certifikátu o ověření příslušného subsystému vydat prohlášení o ověření subsystému, jako součást žádosti o stavební povolení.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Na každou poradu nebo projednání budou pozváni zástupci Objednatele, jejichž náplň činnosti souvisí s projednávanou problematikou, jakož i vyjmenovaní zástupci dalších dotčených osob (viz níže). Svolání jednání musí být provedeno vždy v součinnosti a s vědomím odpovědného pracovníka Objednatele.</w:t>
      </w:r>
    </w:p>
    <w:p w:rsidR="000B117B" w:rsidRPr="003B6C7E" w:rsidRDefault="000B117B" w:rsidP="000B117B">
      <w:pPr>
        <w:pStyle w:val="Default"/>
        <w:numPr>
          <w:ilvl w:val="2"/>
          <w:numId w:val="2"/>
        </w:numPr>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Jestliže se zjistí, že k projednání dokumentace nebyl přizván zástupce SŽDC, jehož se projednávaná problematika také týká, musí přímý Objednatel a Zhotovitel dokumentace s nepřizvaným zástupcem dodatečně dokumentaci projednat. Dodatečné projednání musí být provedeno vždy v součinnosti a vědomím odpovědného pracovníka Objednatele.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Veškeré porady na projednání dokumentace se svolávají v dostatečném časovém předstihu elektronickou, případně písemnou formou. Pozvánka na poradu je adresována vždy na příslušné odbory GŘ SŽDC a OJ SŽDC.</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Pokud dojde po ukončení připomínkového řízení ke změnám technického řešení nebo rozsahu stavby (např. z důvodů požadavků státní správy), musí být veškeré změny dokumentace znovu projednány a odsouhlaseny s jednotlivými odbory GŘ SŽDC a příslušnými OJ SŽDC, kterých se tato změna dotýká. Toto ustanovení se vztahuje i na změny vyvolané v průběhu schvalovacího řízení. Změny, které se netýkají celkové koncepce stavby a současně nemění podstatným způsobem náplň díla lze projednat s příslušnými organizačními složkami Objednatele i elektronickou formou nebo formou písemné žádosti – vyjádření, pokud výsledkem takovéto formy projednání bude jednoznačné souhlasné stanovisko.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Průběh a výsledky projednání dokumentace se zaznamenávají v listinné formě (záznamy, zápisy, dopisy). Tento výstup z jednání se zasílá všem pozvaným a přítomným účastníkům pouze elektronicky. Záznam z jednání musí být rozeslán do 15 pracovních dnů ode dne jednání. Účastníci jednání mohou ve lhůtě 10 pracovních dnů ode dne obdržení záznamu zaslat k záznamu připomínky, pokud nebude stanoveno jinak. Návrh záznamu z porad je též možno nejprve zaslat všem účastníkům ke korektuře a po zapracování připomínek následně rozeslat. Podle předmětu jednání a dohody účastníků je možné pro zaznamenání obsahu jednání zvolit formu zápisu, který bude na závěr jednání přečten, odsouhlasen a podepsán všemi účastníky.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Doklady týkající se projednání stavby, zápisy z jednání, veškerá souhlasná vyjádření a stanoviska dotčených orgánů a osob, současných i budoucích správců a provozovatelů, včetně dokladů o projednání zásahu stavby do cizího majetku (tj. mimo majetek SŽDC) budou současně s dokumentací předány dle požadavku směrnice č. 11/2006 Objednateli v kopiích jako součást přílohy „H – Dokladová část“. Originály dokladů budou předány v samostatné složce opatřené soupisem předávaných dokladů.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použití vyjádření a dokladů z Přípravné dokumentace zajistí Zhotovitel jejich včasnou aktualizaci pro vydání stavebního povolení.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dokladové části projektové dokumentace bude také „Protokol o vypořádání připomínek“. Tento bude obsahovat seznam veškerých připomínek organizačních útvarů a jednotek SŽDC, vyjadřujících se k dané dokumentaci, včetně identifikace připomínkující složky a osoby. Součástí Protokolu o vypořádání připomínek bude způsob vypořádání jednotlivých připomínek a požadavků ze strany Zhotovitele a způsob zapracování připomínek do příslušné části dokumentace. Dokument o vypořádání připomínek musí být při převzetí díla podepsán Objednatelem.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změn v soupisu prací během zadávacího řízení na zhotovení stavby, projektant provede aktualizaci (P) v rozsahu všech příloh dokumentace, kterých se tyto změny týkají.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Soupisy prací (neoceněné), které jsou součástí jednotlivých SO a PS budou odpovídat obsahem a strukturou položkovým rozpočtům, které jsou přílohou dokumentace část G – Náklady stavby.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Součástí povinnosti Autorského dozoru bude vypracování souhrnného rozpočtu stavby ve stádiu 4 - po zadávacím řízení na zhotovení stavby a souhrnných rozpočtů ve stádiu 5 při změně během výstavby, dle směrnice č. 20/2004 v platném znění.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Díla bude také následující smluvní zajištění: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smlouvy o převodu nemovitých věcí nebo jejich částí (pozemků a staveb, nejsou-li součástí pozemku), součástí a příslušenství včetně strojů nebo jiných upevněných zařízení ve smyslu ust. § 508 občanského zákoníku, uzavřené s vlastníky (či jinými oprávněnými osobami) trvale dotčených nemovitých věcí včetně zajištění jejich ověřeného podpisu (kupní smlouvy a smlouvy převodu práva hospodaření)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smlouvy prokazující právo provést stavbu, zejm. zřízením práva stavby včetně závazku uzavřít po skončení stavby na zastavěné pozemky smlouvu o převodu nemovitých věcí,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smlouvy o smlouvě budoucí o zřízení věcného břemene - služebnosti či smlouvu o zřízení věcného břemene - služebnosti k nemovité věci nebo její části uzavřené s vlastníky (či jinými oprávněnými osobami) nebo smlouvy o plnění mající povahu věcného břemene - služebnosti,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smlouvy o smlouvách budoucích o přenechání pozemků či jiných věcí jinému (smlouva o výprose, výpůjčce, nájmu či pachtu),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smlouvy na dočasné zábory stavbou dotčených nemovitých věcí nebo jejich částí (týká se pouze dočasných záborů souvisejících s technologickým postupem předepsaným Zhotoviteli stavby projektem – plán organizace výstavby („POV“)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smlouvy o právu k stavebním úpravám nebo demolici cizích objektů (mimo majetek SŽDC) </w:t>
      </w:r>
    </w:p>
    <w:p w:rsidR="000B117B" w:rsidRPr="003B6C7E" w:rsidRDefault="000B117B" w:rsidP="000B117B">
      <w:pPr>
        <w:pStyle w:val="Default"/>
        <w:numPr>
          <w:ilvl w:val="0"/>
          <w:numId w:val="3"/>
        </w:numPr>
        <w:ind w:left="184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smlouvy o budoucí smlouvě uzavřené s budoucími provozovateli dokončených stavebních objektů a provozních souborů, které budou obsahovat způsob a podmínky převzetí těchto objektů včetně pozemků nebo jejich částí do vlastnictví nebo užívání příslušných. </w:t>
      </w:r>
    </w:p>
    <w:p w:rsidR="000B117B" w:rsidRPr="003B6C7E" w:rsidRDefault="000B117B" w:rsidP="000B117B">
      <w:pPr>
        <w:pStyle w:val="Default"/>
        <w:numPr>
          <w:ilvl w:val="0"/>
          <w:numId w:val="3"/>
        </w:numPr>
        <w:ind w:left="1843"/>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Výše uvedené smlouvy, budou vyhotoveny v souladu s platnými právními předpisy.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rámci smluvního zajištění stavby je Zhotovitel povinen v případě trvale dotčených nemovitých věcí nebo jejich částí (pozemků a staveb, nejsou-li součástí pozemku) před přípravou první kupní smlouvy nebo smlouvy o budoucí smlouvě kupní zjistit, zda se na stavbu aplikuje zákon č. 416/2009 Sb. v platném znění. Tento postup se nevztahuje na uzavírání smluv nebo budoucích smluv o zřízení věcných břemen.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 plnění povinností Zhotovitele ke smluvnímu zajištění se přiměřeně užijí ustanovení § 2445 občanského zákoníku. Úplata (provize) je součástí Ceny Díla, a to včetně nákladů spojených s plněním uvedených povinností Zhotovitele.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Doklady týkající se smluvního zajištění (viz. 2.2.15, 2.2.20), budou současně s dokumentací předány Objednateli v kopiích jako součást přílohy I – Geodetická dokumentace – Majetkoprávní část, dle požadavku směrnice č. 11/2006. Originály dokladů budou předány v samostatné složce opatřené soupisem předávaných dokladů. Kupní smlouvy a Smlouvy o zřízení věcného břemene – služebnosti předá, za účelem zápisu do katastru nemovitosti, Zhotovitel Objednateli neprodleně po jejich uzavření.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Pro smluvní zajištění (viz. 2.2.15, 2.2.20)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Pokud se Zhotoviteli nepodaří ve lhůtě 90 dnů ode dne následujícím po doručení návrhu na uzavření smlouvy vlastníkovi či jiné </w:t>
      </w:r>
    </w:p>
    <w:p w:rsidR="000B117B" w:rsidRPr="003B6C7E" w:rsidRDefault="000B117B" w:rsidP="000B117B">
      <w:pPr>
        <w:pStyle w:val="Default"/>
        <w:spacing w:before="60"/>
        <w:ind w:left="141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oprávněné osobě uzavřít smlouvu o získání práv k pozemku nebo ke stavbě, předá Zhotovitel Objednateli dle jeho požadavku veškeré podklady pro podání žádosti o zahájení vyvlastňovacího řízení, příp. žaloby na zrušení spoluvlastnictví.</w:t>
      </w:r>
    </w:p>
    <w:p w:rsidR="000B117B" w:rsidRPr="003B6C7E" w:rsidRDefault="000B117B" w:rsidP="000B117B">
      <w:pPr>
        <w:pStyle w:val="Default"/>
        <w:numPr>
          <w:ilvl w:val="1"/>
          <w:numId w:val="2"/>
        </w:numPr>
        <w:spacing w:before="120"/>
        <w:ind w:left="788" w:hanging="431"/>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lastRenderedPageBreak/>
        <w:t xml:space="preserve">Určení zástupců Objednatele a dalších dotčených osob k projednání dokumentace: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 ohledem na povahu Díla si smluvní strany sjednávají, že Zhotovitel bude při projednávání dokumentace jednat přímo se specializovanými útvary Objednatele a dalších dotčených osob a orgánů. Projekt musí být projednán s níže uvedenými zástupci a profesními specialisty Objednatele, dále se zástupci dalších dotčených osob a s dotčenými orgány státní správy, případně fyzickými a právnickými osobami dle požadavků příslušného úřadu, vydávajícího stavební povolení.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b/>
          <w:color w:val="auto"/>
          <w:sz w:val="22"/>
          <w:szCs w:val="22"/>
        </w:rPr>
      </w:pPr>
      <w:r w:rsidRPr="003B6C7E">
        <w:rPr>
          <w:rFonts w:ascii="Times New Roman" w:hAnsi="Times New Roman" w:cs="Times New Roman"/>
          <w:color w:val="auto"/>
          <w:sz w:val="22"/>
          <w:szCs w:val="22"/>
        </w:rPr>
        <w:t>Organizační</w:t>
      </w:r>
      <w:r w:rsidRPr="003B6C7E">
        <w:rPr>
          <w:rFonts w:ascii="Times New Roman" w:hAnsi="Times New Roman" w:cs="Times New Roman"/>
          <w:b/>
          <w:color w:val="auto"/>
          <w:sz w:val="22"/>
          <w:szCs w:val="22"/>
        </w:rPr>
        <w:t xml:space="preserve"> jednotky SŽDC přizvané k projednání dokumentace (OJ SŽDC): </w:t>
      </w:r>
    </w:p>
    <w:p w:rsidR="000B117B" w:rsidRPr="003B6C7E" w:rsidRDefault="000B117B" w:rsidP="000B117B">
      <w:pPr>
        <w:pStyle w:val="Default"/>
        <w:numPr>
          <w:ilvl w:val="0"/>
          <w:numId w:val="4"/>
        </w:numPr>
        <w:spacing w:before="60"/>
        <w:ind w:left="1417" w:hanging="35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příslušná Stavební správa (SSZ a SSV) </w:t>
      </w:r>
    </w:p>
    <w:p w:rsidR="000B117B" w:rsidRPr="003B6C7E" w:rsidRDefault="000B117B" w:rsidP="000B117B">
      <w:pPr>
        <w:pStyle w:val="Default"/>
        <w:numPr>
          <w:ilvl w:val="0"/>
          <w:numId w:val="4"/>
        </w:numPr>
        <w:ind w:left="141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Správa železniční energetiky - SŽE,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ČD a.s. a jejich smluvní udržující organizace přizvané k projednání dokumentace:</w:t>
      </w:r>
    </w:p>
    <w:p w:rsidR="000B117B" w:rsidRPr="003B6C7E" w:rsidRDefault="000B117B" w:rsidP="000B117B">
      <w:pPr>
        <w:pStyle w:val="Default"/>
        <w:numPr>
          <w:ilvl w:val="0"/>
          <w:numId w:val="4"/>
        </w:numPr>
        <w:spacing w:before="60"/>
        <w:ind w:left="1417" w:hanging="35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ČD a.s., RSM Praha</w:t>
      </w:r>
    </w:p>
    <w:p w:rsidR="000B117B" w:rsidRPr="003B6C7E" w:rsidRDefault="000B117B" w:rsidP="000B117B">
      <w:pPr>
        <w:pStyle w:val="Default"/>
        <w:numPr>
          <w:ilvl w:val="0"/>
          <w:numId w:val="5"/>
        </w:numPr>
        <w:ind w:left="141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ČD a.s., Telematika a.s.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Objednavatelé dopravy ve veřejném zájmu (MD, Kraje)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Dotčené orgány a osoby</w:t>
      </w:r>
      <w:r w:rsidRPr="003B6C7E">
        <w:rPr>
          <w:rFonts w:ascii="Times New Roman" w:hAnsi="Times New Roman" w:cs="Times New Roman"/>
          <w:color w:val="auto"/>
          <w:sz w:val="22"/>
          <w:szCs w:val="22"/>
        </w:rPr>
        <w:t xml:space="preserve"> v rozsahu požadavků zákona č. 183/2006 Sb. a zákona č. 500/2004 Sb.</w:t>
      </w:r>
    </w:p>
    <w:p w:rsidR="000B117B" w:rsidRPr="003B6C7E" w:rsidRDefault="000B117B" w:rsidP="000B117B">
      <w:pPr>
        <w:pStyle w:val="Default"/>
        <w:numPr>
          <w:ilvl w:val="1"/>
          <w:numId w:val="2"/>
        </w:numPr>
        <w:spacing w:before="120"/>
        <w:ind w:left="788" w:hanging="431"/>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Autorský dozor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 základě požadavku stavebního zákona bude součástí povinnosti Zhotovitele i činnosti spojené s výkonem Autorského dozoru projektanta v průběhu přípravy a realizace díla dle zákona č. 360/1992 Sb. Náplní práce AD je dodržení hlavních zásad celkového řešení projektu stavby a udržení souladu mezi jednotlivými částmi dokumentace stavby. Jako zpracovatel dokumentace pro stavební povolení bude AD vykonávat zejména činnosti popsané v příloze č. 2 této smlouvy. </w:t>
      </w:r>
    </w:p>
    <w:p w:rsidR="000B117B" w:rsidRPr="003B6C7E" w:rsidRDefault="000B117B" w:rsidP="000B117B">
      <w:pPr>
        <w:pStyle w:val="Default"/>
        <w:numPr>
          <w:ilvl w:val="0"/>
          <w:numId w:val="2"/>
        </w:numPr>
        <w:spacing w:before="120"/>
        <w:ind w:left="357" w:hanging="357"/>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POŽADAVKY NA ROZSAH A ČLENĚNÍ DOKUMENTACE </w:t>
      </w:r>
    </w:p>
    <w:p w:rsidR="000B117B" w:rsidRPr="003B6C7E" w:rsidRDefault="000B117B" w:rsidP="000B117B">
      <w:pPr>
        <w:pStyle w:val="Default"/>
        <w:numPr>
          <w:ilvl w:val="2"/>
          <w:numId w:val="2"/>
        </w:numPr>
        <w:spacing w:before="12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Členění (P) řeší vyhláška č. 499/2006, případně vyhláška č. 146/2006 a Směrnice SŽDC č. 11/2006, v případě, že jsou tyto dokumenty v rozporu, má přednost členění dle vyhlášky.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Obsahová struktura, pojmenování a číslování jednotlivých stavebních objektů a provozních souborů bude vycházet ze schválené a odsouhlasené Přípravné dokumentace stavby. Změnu lze provést pouze se souhlasem Objednatele, a to jenom v případech, kdy změna negativně neovlivní schválené a vydané územní rozhodnutí a MD schválený „Záměr projektu“ stavby. Veškeré takto provedené změny musí být projednané a odsouhlasené.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Nad rámec Směrnice SŽDC č. 11/2006 a vyhlášky 499/2006, případně vyhlášky č. 146/2006 Sb., budou součástí dokumentace přílohy, které jsou vyžadované k podání žádosti na posouzení shody s technickými požadavky na interoperabilitu dle platné legislativy:</w:t>
      </w:r>
    </w:p>
    <w:p w:rsidR="000B117B" w:rsidRPr="003B6C7E" w:rsidRDefault="000B117B" w:rsidP="000B117B"/>
    <w:p w:rsidR="000B117B" w:rsidRPr="003B6C7E" w:rsidRDefault="000B117B" w:rsidP="000B117B">
      <w:pPr>
        <w:pStyle w:val="Default"/>
        <w:numPr>
          <w:ilvl w:val="3"/>
          <w:numId w:val="2"/>
        </w:numPr>
        <w:spacing w:before="60"/>
        <w:ind w:left="1723" w:hanging="646"/>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ČÁST J – DOKUMENTACE PRO REGISTR SUBSYSTÉMU: </w:t>
      </w:r>
    </w:p>
    <w:p w:rsidR="000B117B" w:rsidRPr="003B6C7E" w:rsidRDefault="000B117B" w:rsidP="000B117B">
      <w:pPr>
        <w:pStyle w:val="Default"/>
        <w:spacing w:before="60"/>
        <w:ind w:left="1418"/>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Technická zpráva: </w:t>
      </w:r>
    </w:p>
    <w:p w:rsidR="000B117B" w:rsidRPr="003B6C7E" w:rsidRDefault="000B117B" w:rsidP="000B117B">
      <w:pPr>
        <w:pStyle w:val="Default"/>
        <w:ind w:left="15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souhrn všech podkladů a technických požadavků na interoperabilitu v jednotlivých subsystémech: infrastruktura (INS), energie (ENE) a v subsystému řízení a zabezpečení (CCS), </w:t>
      </w:r>
    </w:p>
    <w:p w:rsidR="000B117B" w:rsidRPr="003B6C7E" w:rsidRDefault="000B117B" w:rsidP="000B117B">
      <w:pPr>
        <w:pStyle w:val="Default"/>
        <w:spacing w:before="60"/>
        <w:ind w:left="1418"/>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Výkresová část: </w:t>
      </w:r>
    </w:p>
    <w:p w:rsidR="000B117B" w:rsidRPr="003B6C7E" w:rsidRDefault="000B117B" w:rsidP="000B117B">
      <w:pPr>
        <w:pStyle w:val="Default"/>
        <w:ind w:left="1418"/>
        <w:jc w:val="both"/>
        <w:rPr>
          <w:rFonts w:ascii="Times New Roman" w:hAnsi="Times New Roman" w:cs="Times New Roman"/>
          <w:color w:val="auto"/>
          <w:sz w:val="22"/>
          <w:szCs w:val="22"/>
        </w:rPr>
      </w:pPr>
      <w:r w:rsidRPr="003B6C7E">
        <w:rPr>
          <w:rFonts w:ascii="Times New Roman" w:hAnsi="Times New Roman" w:cs="Times New Roman"/>
          <w:b/>
          <w:color w:val="auto"/>
          <w:sz w:val="22"/>
          <w:szCs w:val="22"/>
        </w:rPr>
        <w:t>přehledná situace stavby</w:t>
      </w:r>
      <w:r w:rsidRPr="003B6C7E">
        <w:rPr>
          <w:rFonts w:ascii="Times New Roman" w:hAnsi="Times New Roman" w:cs="Times New Roman"/>
          <w:color w:val="auto"/>
          <w:sz w:val="22"/>
          <w:szCs w:val="22"/>
        </w:rPr>
        <w:t xml:space="preserve"> (v měřítku 1:10 000), s vyznačením komunikačních prostorů budovy a pro ně dále schematicky znázornění, kde jsou umístěny významné body usnadňující veřejnosti orientaci a zařízení pro usnadnění přístupu osob s omezenou schopností pohybu a orientace. </w:t>
      </w:r>
    </w:p>
    <w:p w:rsidR="000B117B" w:rsidRPr="003B6C7E" w:rsidRDefault="000B117B" w:rsidP="000B117B">
      <w:pPr>
        <w:pStyle w:val="Default"/>
        <w:numPr>
          <w:ilvl w:val="3"/>
          <w:numId w:val="2"/>
        </w:numPr>
        <w:spacing w:before="120"/>
        <w:ind w:left="1723" w:hanging="646"/>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ČÁST K – DOKUMENATCE PRO POSOUZENÍ SHODY: </w:t>
      </w:r>
    </w:p>
    <w:p w:rsidR="000B117B" w:rsidRPr="003B6C7E" w:rsidRDefault="000B117B" w:rsidP="000B117B">
      <w:pPr>
        <w:pStyle w:val="Default"/>
        <w:spacing w:before="60"/>
        <w:ind w:left="1418"/>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lastRenderedPageBreak/>
        <w:t xml:space="preserve">Shoda součástí interoperability: </w:t>
      </w:r>
    </w:p>
    <w:p w:rsidR="000B117B" w:rsidRPr="003B6C7E" w:rsidRDefault="000B117B" w:rsidP="000B117B">
      <w:pPr>
        <w:pStyle w:val="Default"/>
        <w:ind w:left="15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dle platné legislativy se uvedou jmenovitě součásti interoperability a upřesní se požadavky na posuzování jejich shody v členění po jednotlivých subsystémech Infrastruktura, a Energie. Pokud není v ZTP jmenovitě uvedeno jinak, požadavky na posuzování vybraných stavebních výrobků, nezařazených do strukturálních subsystémů, se v P zrekapitulují jen obecným výčtem výrobků. </w:t>
      </w:r>
    </w:p>
    <w:p w:rsidR="000B117B" w:rsidRPr="003B6C7E" w:rsidRDefault="000B117B" w:rsidP="000B117B">
      <w:pPr>
        <w:pStyle w:val="Default"/>
        <w:spacing w:before="60"/>
        <w:ind w:left="1418"/>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Shoda subsystémů: </w:t>
      </w:r>
    </w:p>
    <w:p w:rsidR="000B117B" w:rsidRPr="003B6C7E" w:rsidRDefault="000B117B" w:rsidP="000B117B">
      <w:pPr>
        <w:pStyle w:val="Default"/>
        <w:ind w:left="15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dle platných předpisů se dle členění na jednotlivé subsystémy upřesní požadavky na posuzování jejich shody v případě, že nejsou, kdy nejsou k dispozici příslušné TSI pro konvenční tratě. Sleduje se přitom následující časové členění posuzování shody: </w:t>
      </w:r>
    </w:p>
    <w:p w:rsidR="000B117B" w:rsidRPr="003B6C7E" w:rsidRDefault="000B117B" w:rsidP="000B117B">
      <w:pPr>
        <w:pStyle w:val="Default"/>
        <w:numPr>
          <w:ilvl w:val="0"/>
          <w:numId w:val="6"/>
        </w:numPr>
        <w:spacing w:before="60"/>
        <w:ind w:left="1843" w:hanging="28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projektu stavby, </w:t>
      </w:r>
    </w:p>
    <w:p w:rsidR="000B117B" w:rsidRPr="003B6C7E" w:rsidRDefault="000B117B" w:rsidP="000B117B">
      <w:pPr>
        <w:pStyle w:val="Default"/>
        <w:numPr>
          <w:ilvl w:val="0"/>
          <w:numId w:val="6"/>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 dokončení realizační dokumentace, pokud u konkrétního subsystému je relevantní, </w:t>
      </w:r>
    </w:p>
    <w:p w:rsidR="000B117B" w:rsidRPr="003B6C7E" w:rsidRDefault="000B117B" w:rsidP="000B117B">
      <w:pPr>
        <w:pStyle w:val="Default"/>
        <w:numPr>
          <w:ilvl w:val="0"/>
          <w:numId w:val="6"/>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ve stádiu realizace, </w:t>
      </w:r>
    </w:p>
    <w:p w:rsidR="000B117B" w:rsidRPr="003B6C7E" w:rsidRDefault="000B117B" w:rsidP="000B117B">
      <w:pPr>
        <w:pStyle w:val="Default"/>
        <w:numPr>
          <w:ilvl w:val="0"/>
          <w:numId w:val="6"/>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při uvedení do provozu. </w:t>
      </w:r>
    </w:p>
    <w:p w:rsidR="000B117B" w:rsidRPr="003B6C7E" w:rsidRDefault="000B117B" w:rsidP="000B117B">
      <w:pPr>
        <w:pStyle w:val="Default"/>
        <w:spacing w:before="120"/>
        <w:ind w:left="1559"/>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platných předpisech.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 </w:t>
      </w:r>
    </w:p>
    <w:p w:rsidR="000B117B" w:rsidRPr="003B6C7E" w:rsidRDefault="000B117B" w:rsidP="000B117B">
      <w:pPr>
        <w:pStyle w:val="Default"/>
        <w:numPr>
          <w:ilvl w:val="3"/>
          <w:numId w:val="2"/>
        </w:numPr>
        <w:spacing w:before="60"/>
        <w:ind w:left="1560" w:hanging="4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Na základě požadavků obecně platných právních předpisů ČR se doplňuje požadavek interního předpisu následovně: </w:t>
      </w:r>
    </w:p>
    <w:p w:rsidR="000B117B" w:rsidRPr="003B6C7E" w:rsidRDefault="000B117B" w:rsidP="000B117B">
      <w:pPr>
        <w:pStyle w:val="Default"/>
        <w:numPr>
          <w:ilvl w:val="0"/>
          <w:numId w:val="6"/>
        </w:numPr>
        <w:spacing w:before="60"/>
        <w:ind w:left="1843" w:hanging="28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příloh jednotlivých stavebních objektů a provozních souborů bude soupis prací s výkazem výměr bez ocenění včetně technické specifikace s podrobným vymezením množství stavebních prací, konstrukcí, dodávek nebo služeb s uvedením postupu výpočtu celkového množství položek soupisu prací, </w:t>
      </w:r>
    </w:p>
    <w:p w:rsidR="000B117B" w:rsidRPr="003B6C7E" w:rsidRDefault="000B117B" w:rsidP="000B117B">
      <w:pPr>
        <w:pStyle w:val="Default"/>
        <w:numPr>
          <w:ilvl w:val="0"/>
          <w:numId w:val="6"/>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ČÁSTI G – NÁKLADY STAVBY bude oceněný soupis prací jednotlivých SO a PS s výkazem výměr s uvedeným názvem položky včetně technické specifikace] a souhrnný rozpočet stavby. </w:t>
      </w:r>
    </w:p>
    <w:p w:rsidR="000B117B" w:rsidRPr="003B6C7E" w:rsidRDefault="000B117B" w:rsidP="000B117B">
      <w:pPr>
        <w:pStyle w:val="Default"/>
        <w:numPr>
          <w:ilvl w:val="0"/>
          <w:numId w:val="2"/>
        </w:numPr>
        <w:spacing w:before="120"/>
        <w:ind w:left="357" w:hanging="357"/>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TECHNICKÉ POŽADAVKY NA ZPRACOVÁNÍ PROJEKTU STAVBY </w:t>
      </w:r>
    </w:p>
    <w:p w:rsidR="000B117B" w:rsidRPr="003B6C7E" w:rsidRDefault="000B117B" w:rsidP="000B117B">
      <w:pPr>
        <w:pStyle w:val="Default"/>
        <w:numPr>
          <w:ilvl w:val="2"/>
          <w:numId w:val="2"/>
        </w:numPr>
        <w:spacing w:before="12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Základní rozsah a náplň (P) bude zpracován na základě výchozích podkladů, které jsou závaznými dokumenty a jsou součástí Zadávací dokumentace, Díl 3 – Výchozí podklady předávané zadavatelem. </w:t>
      </w:r>
    </w:p>
    <w:p w:rsidR="000B117B" w:rsidRPr="003B6C7E" w:rsidRDefault="000B117B" w:rsidP="000B117B">
      <w:pPr>
        <w:pStyle w:val="Default"/>
        <w:numPr>
          <w:ilvl w:val="2"/>
          <w:numId w:val="2"/>
        </w:numPr>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Pro Zhotovení (P) jsou </w:t>
      </w:r>
      <w:r w:rsidRPr="003B6C7E">
        <w:rPr>
          <w:rFonts w:ascii="Times New Roman" w:hAnsi="Times New Roman" w:cs="Times New Roman"/>
          <w:b/>
          <w:color w:val="auto"/>
          <w:sz w:val="22"/>
          <w:szCs w:val="22"/>
        </w:rPr>
        <w:t>závaznými podklady</w:t>
      </w:r>
      <w:r w:rsidRPr="003B6C7E">
        <w:rPr>
          <w:rFonts w:ascii="Times New Roman" w:hAnsi="Times New Roman" w:cs="Times New Roman"/>
          <w:color w:val="auto"/>
          <w:sz w:val="22"/>
          <w:szCs w:val="22"/>
        </w:rPr>
        <w:t xml:space="preserve"> obecně platné právní předpisy ČR, zejména pak s požadavky vyhl. č. 268/2009 Sb., o technických požadavcích na stavby v platném znění, dále pak platné interní dokumenty a předpisy SŽDC (jako například Směrnice, TKP, předpisy, zaváděcí listy, vzorové listy apod.), VTP, ZTP, normy TNŽ a ČSN, vše v platném znění. Objednatel umožňuje Zhotoviteli přístup ke všem svým interním dokumentům a předpisům (viz. kapitola 6).</w:t>
      </w:r>
    </w:p>
    <w:p w:rsidR="000B117B" w:rsidRPr="003B6C7E" w:rsidRDefault="000B117B" w:rsidP="000B117B">
      <w:pPr>
        <w:pStyle w:val="Default"/>
        <w:spacing w:before="120"/>
        <w:ind w:left="141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Při zpracování dokumentace si Zhotovitel zajistí veškeré výše uvedené </w:t>
      </w:r>
      <w:r w:rsidRPr="003B6C7E">
        <w:rPr>
          <w:rFonts w:ascii="Times New Roman" w:hAnsi="Times New Roman" w:cs="Times New Roman"/>
          <w:b/>
          <w:color w:val="auto"/>
          <w:sz w:val="22"/>
          <w:szCs w:val="22"/>
        </w:rPr>
        <w:t>závazné podklady</w:t>
      </w:r>
      <w:r w:rsidRPr="003B6C7E">
        <w:rPr>
          <w:rFonts w:ascii="Times New Roman" w:hAnsi="Times New Roman" w:cs="Times New Roman"/>
          <w:color w:val="auto"/>
          <w:sz w:val="22"/>
          <w:szCs w:val="22"/>
        </w:rPr>
        <w:t xml:space="preserve"> na vlastní náklady a předmětnou dokumentaci stavby zpracuje v souladu s nimi.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Základní rozsah navržených úprav musí odpovídat dle typu zařazení tratě interním směrnicím Objednatele.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Návrh technického řešení bude respektovat požadavky a připomínky orgánů státní správy, fyzických a právnických osob, s kterými byla přípravná dokumentace v </w:t>
      </w:r>
      <w:r w:rsidRPr="003B6C7E">
        <w:rPr>
          <w:rFonts w:ascii="Times New Roman" w:hAnsi="Times New Roman" w:cs="Times New Roman"/>
          <w:color w:val="auto"/>
          <w:sz w:val="22"/>
          <w:szCs w:val="22"/>
        </w:rPr>
        <w:lastRenderedPageBreak/>
        <w:t xml:space="preserve">průběhu zpracování a územního řízení (ÚR) projednána a požadavky vzešlé z podmínek ÚR, dále bude respektovat podmínky posuzovacího a schvalovacího protokolu přípravné dokumentace stavby.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Součástí dokumentace bude zpracování soupisu prací jednotlivých SO a PS a souhrnného rozpočtu stavby, dle požadavku příslušné interní směrnice Objednatele. Obsahovou náplní musí být rozpočet v souladu z podrobného soupisu prací dle požadavků vyhlášky 169/2016 Sb., zejména dostatečném a přesném popisu technických specifikací jednotlivých položek, v podrobnostech jednoznačně vymezujících obsah požadovaných stavebních prací, dodávek či služeb a umožňující stejné ocenění tohoto obsahu. Součástí bude i výkaz výměr s uvedením postupu výpočtu celkového množství položek soupisu prací včetně podkladů z kterých lze uvedené množství prověřit. Na základě rozhodnutí Centrální komise Ministerstva dopravy ze dne 17. 1. 2014 je pro stavby pozemních komunikací a pro železniční stavby závazné použití aktualizovaných Oborových třídníků stavebních konstrukcí a prací (viz. www.sfdi.cz), které jsou cenovou soustavou ve smyslu vyhlášku 169/2016 Sb., kterou se stanoví podrobnosti vymezení předmětu veřejné zakázky na stavební práce a rozsah soupisu stavebních prací, dodávek a služeb s výkazem výměr. V případě, že pro činnosti zařazené do SO a PS nemají oborové třídníky odpovídající položky, budou tyto oceněny ve volně dostupné Cenové soustavě nebo v nových samostatných položkách (tzv. R-položky). Projektant je povinen u takovýchto položek uvést technické specifikace s přesným popisem specifikujícím dodávku materiálu nebo výrobku s jednoznačným popisem materiálu nebo výrobku s uvedením technických parametrů nebo vlastností požadovaného materiálu nebo výrobku.</w:t>
      </w:r>
    </w:p>
    <w:p w:rsidR="000B117B" w:rsidRPr="003B6C7E" w:rsidRDefault="000B117B" w:rsidP="000B117B">
      <w:pPr>
        <w:pStyle w:val="Default"/>
        <w:ind w:left="141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Technické specifikace oborových třídníků jsou součástí oborových třídníků, a proto není třeba tyto technické specifikace dodávat jako součást tištěné verze.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Položkové rozpočty jednotlivých SO a PS budou zpracované v souladu s vyhláškou č. 169/2016, přičemž vedlejší rozpočtové náklady (VRN) budou rozpuštěné do jednotlivých položek. To znamená, že položkové ceny v sobě musí zahrnovat veškeré činnosti a požadavky související s vybudováním, provozem a likvidací zařízení staveniště, ztížené podmínky výstavby související s umístěním stavby provozními nebo dopravními omezeními a to v rozsahu daném směrnicí č. 20/2004, včetně: </w:t>
      </w:r>
    </w:p>
    <w:p w:rsidR="000B117B" w:rsidRPr="003B6C7E" w:rsidRDefault="000B117B" w:rsidP="000B117B">
      <w:pPr>
        <w:pStyle w:val="Default"/>
        <w:numPr>
          <w:ilvl w:val="0"/>
          <w:numId w:val="7"/>
        </w:numPr>
        <w:spacing w:before="60"/>
        <w:ind w:left="1843" w:hanging="28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režijních nákladů Zhotovitele,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práva a náklady na přístupové cesty, použité pozemky, zařízení staveniště a jejich průběžné čištění a následné uvedení do původního stavu mimo opatření zajišťovaných Objednatelem,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náklady na veškerá pojištění,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zkoušky, testy, vzorky požadované zadávací dokumentací,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poplatky, daně a cla,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potřebné energie,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dopravní opatření a značení vzniklá činností Zhotovitele mimo opatření zajišťovaných Objednatelem,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správní poplatky na likvidaci odpadů,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jakékoli ostatní náklady vyplývající ze zadávacích podmínek.</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rPr>
      </w:pPr>
      <w:r w:rsidRPr="003B6C7E">
        <w:rPr>
          <w:rFonts w:ascii="Times New Roman" w:hAnsi="Times New Roman" w:cs="Times New Roman"/>
          <w:color w:val="auto"/>
          <w:sz w:val="22"/>
          <w:szCs w:val="22"/>
        </w:rPr>
        <w:t>Rozpočet bude zpracován dle aktuální cenové hladiny ÚRS Praha nebo ceníku Zhotovitele, pokud je tento pro Objednatele cenově příznivější.</w:t>
      </w:r>
    </w:p>
    <w:p w:rsidR="000B117B" w:rsidRPr="003B6C7E" w:rsidRDefault="000B117B" w:rsidP="000B117B">
      <w:pPr>
        <w:pStyle w:val="Default"/>
        <w:spacing w:before="60"/>
        <w:ind w:left="1417"/>
        <w:jc w:val="both"/>
        <w:rPr>
          <w:rFonts w:ascii="Times New Roman" w:hAnsi="Times New Roman" w:cs="Times New Roman"/>
          <w:sz w:val="22"/>
          <w:szCs w:val="22"/>
        </w:rPr>
      </w:pPr>
      <w:r w:rsidRPr="003B6C7E">
        <w:rPr>
          <w:rFonts w:ascii="Times New Roman" w:hAnsi="Times New Roman" w:cs="Times New Roman"/>
          <w:color w:val="auto"/>
          <w:sz w:val="22"/>
          <w:szCs w:val="22"/>
        </w:rPr>
        <w:t>Zpracování případných dílčích změn v projektové dokumentaci požadovaných objednatelem pro vydání stavebního povolení bude prováděno na základě samostatné objednávky a bude oceněno dne aktuální cenové soustavy ÚRS Praha.</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Vedlejší rozpočtové náklady stavby zahrnuté v jednotlivých položkách příslušných SO a PS musí být v rámci projektové dokumentace dohledatelné.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Náklady na ztížené podmínky výstavby se stanovují pouze u těch SO a PS jejichž výstavba je jimi prokazatelně zatížena. V technické zprávě příslušných SO a PS musí </w:t>
      </w:r>
      <w:r w:rsidRPr="003B6C7E">
        <w:rPr>
          <w:rFonts w:ascii="Times New Roman" w:hAnsi="Times New Roman" w:cs="Times New Roman"/>
          <w:color w:val="auto"/>
          <w:sz w:val="22"/>
          <w:szCs w:val="22"/>
        </w:rPr>
        <w:lastRenderedPageBreak/>
        <w:t xml:space="preserve">být vždy popsán rozsah a odůvodnění vlivu ztížených podmínek výstavby a rozsah vlivu zařízení staveniště na položkový rozpočet.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Samostatnou položkou uvedenou mimo položkový rozpočet jednotlivých SO a PS, budou dle vyhlášky 169/2016 Sb. ostatní rozpočtové náklady, tj. ostatní náklady spojené s plněním povinností zhotovitele stavby vyplývající z jiných podmínek neuvedených v položkových rozpočtech stavebních objektů, inženýrských objektů, nebo provozních souborů a které zahrnují: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realizační dokumentace,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dokumentace skutečného provedení včetně geodetického zaměření, skutečného provedení a dodání geometrických plánů,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koordinátor BOZP v realizaci,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ekologický dozor v realizaci pokud je vyžadován, </w:t>
      </w:r>
    </w:p>
    <w:p w:rsidR="000B117B" w:rsidRPr="003B6C7E" w:rsidRDefault="000B117B" w:rsidP="000B117B">
      <w:pPr>
        <w:pStyle w:val="Default"/>
        <w:numPr>
          <w:ilvl w:val="0"/>
          <w:numId w:val="7"/>
        </w:numPr>
        <w:ind w:left="1843" w:hanging="283"/>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zajištění notifikace v realizaci.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Dokumentace musí svojí koncepcí a obsahovou náplní provést důslednou koordinaci s dalšími stavbami SŽDC, cizích investorů na pozemcích SŽDC a ČD a v ochranném pásmu dráhy a stavbami se stavbou na dotčeném území.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Dokumentace musí provést koordinaci a spolupráci se správci dotčených energetických zařízení dle požadavků platné legislativy.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Dokumentace musí provést koordinaci a spolupráci se správci dotčených elektronických komunikací dle platné legislativy. </w:t>
      </w:r>
    </w:p>
    <w:p w:rsidR="000B117B" w:rsidRPr="003B6C7E" w:rsidRDefault="000B117B" w:rsidP="000B117B">
      <w:pPr>
        <w:pStyle w:val="Default"/>
        <w:numPr>
          <w:ilvl w:val="2"/>
          <w:numId w:val="2"/>
        </w:numPr>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dokumentaci budou jednoznačně specifikovaná technická zařízení určená k provozuschopné části stavby s návrhem podmínek pro zavedení zkušebního provozu a stanovení jeho délky.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POV, přičemž veškeré navržené postupy musí být projednané.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Dokumentace bude respektovat majetkové poměry mezi ČD a SŽDC a podle toho bude uspořádána.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Pro majetkoprávní vypořádání stavby zajistí Zhotovitel vypracování geometrických plánů v souladu požadavky příslušných právních předpisů.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Dokumentace navrhne řešení na vhodné ekonomické využití čisté výkopové zeminy pro vlastní účely stavby s provedenou a doloženou koordinací jednotlivých stavebních postupů POV, přičemž musí jasně stanovit způsob nakládání s odpady dle platné legislativy s přehledným zatříděním a doloženým odborným stanoviskem pověřené osoby na hodnocení nebezpečných vlastností odpadů. Dokumentace také navrhne alternativní možnosti uložení nekontaminovaného odpadu s cílem snížit náklady na odvoz a uložení na skládce. Vliv stavby na životní prostředí, část odpady a nakládání s odpady, doložit také do technických zpráv jednotlivých SO a PS.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vzniku vyzískaného materiálu bude přesně stanoven rozsah a množství ostatního vyzískaného materiálu k dalšímu možnému využití a manipulaci s ním dle interních předpisů Objednatele.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potřeby kácení bude Zhotovitel (P) respektovat příslušné právní předpisy. Za účelem stanovení rozsahu a kvality kácené zeleně bude zaktualizován dendrologický průzkum z PD na současný stav, který bude sloužit jako podklad pro povolení ke kácení dřevin rostoucích mimo les. Závěr Dendrologického průzkumu bude obsahovat přesný seznam dřevin a zapojených porostů mimo lesní zeleně kácených v režimu povolení ke kácení. Rozhodnutí o povolení ke kácení zajistí Zhotovitel projekčních prací.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Při zpracování projektu bude aktualizováno Akustické posouzení z PD dle případných změn a požadavků vyplývajících z připomínek. V úvodu bude předmětná stavba </w:t>
      </w:r>
      <w:r w:rsidRPr="003B6C7E">
        <w:rPr>
          <w:rFonts w:ascii="Times New Roman" w:hAnsi="Times New Roman" w:cs="Times New Roman"/>
          <w:color w:val="auto"/>
          <w:sz w:val="22"/>
          <w:szCs w:val="22"/>
        </w:rPr>
        <w:lastRenderedPageBreak/>
        <w:t>popsána ve vztahu k vedení železniční trati. Dále bude popsána platná legislativa a vyselektovány hygienické limity týkající se stavby. V případě prokazatelného překročení hygienických limitů hluku (pro chráněný vnitřní prostor staveb, chráněný venkovní prostor staveb a chráněný venkovní prostor) dle platné legislativy, budou do technického řešení doplněna protihluková opatření pro splnění příslušného hygienického limitu (pokud jsou z technického a ekonomického hlediska možné).</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Akustického posouzení bude měření hluku z provozu. Měření bude použito jako podklad pro vypracování akustického posouzení a ověření výpočtového modelu. Měřicí body budou charakterizovat zájmové prostory a budou navrženy se souhlasem Objednatele. Pokud Objednatel nestanoví jinak, bude provedeno 24hodinové synchronní měření v době optimálního rozsahu dopravy. Hodnotí se výsledná hodnota zjištěna měřením při umístění mikrofonu ve vzdálenosti 2 m (min. 0,5 m) od fasády posuzovaného objektu (před odrazivým povrchem) po odečtení korekce pro odraz od fasády k získání dopadajícího zvukového pole. Dále bude v protokolu z měření vypočtena kombinovaná rozšířená nejistota měření, která bude od výsledné naměřené hodnoty odečtena. Objednatel odsouhlasí výběr měřících bodů a bude informován o termínu měření.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Budou navržena taková protihluková opatření, aby nedocházelo k překračování hygienických limitů.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Bude zpracováno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protihlukových opatření.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Dále bude zpracováno vyhodnocení expozice vibracím dle naměřených dat v nejzasaženějších prostorech. Bude provedeno měření hladiny zrychlení vibrací v chráněných vnitřních prostorech staveb. Součástí Vyhodnocení bude Protokol o měření, fotodokumentace a popis měřících bodů.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zpracování Dokumentace EIA v rámci PD musí být změny vstupních parametrů v (P) posouzeny s touto dokumentací.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Veškerá navržená řešení, materiály a technologické postupy navržené projektem stavby musí umožnit využití technologií, dostupných na trhu a certifikovaných pro použití v České republice.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 případě investiční akce na dráze celostátní navrhne projektant v rámci zpracování projektu stavby taková zařízení, která budou splňovat podmínky příslušných Technických specifikací interoperability (TSI) pro konvenční tratě v platném znění.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Základní parametry prvků součástí interoperability a subsystémů použitých v evropském železničním systému musí zajistit dokonalou slučitelnost vlastností dopravní cesty dráhy s vlastnostmi kolejových vozidel a zabezpečit na tratích evropského železničního systému plynulé a bezpečné provozování drážní dopravy, požadovanou úroveň výkonnosti a kvality služeb při vynaložení přiměřených nákladů na provozování dráhy a drážní dopravy.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dokumentace bude „Zpráva o posouzení bezpečnosti“ dle platné Směrnice Evropského parlamentu a Rady. </w:t>
      </w:r>
    </w:p>
    <w:p w:rsidR="000B117B"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0B117B" w:rsidRDefault="000B117B" w:rsidP="000B117B">
      <w:pPr>
        <w:pStyle w:val="Default"/>
        <w:spacing w:before="60"/>
        <w:jc w:val="both"/>
        <w:rPr>
          <w:rFonts w:ascii="Times New Roman" w:hAnsi="Times New Roman" w:cs="Times New Roman"/>
          <w:color w:val="auto"/>
          <w:sz w:val="22"/>
          <w:szCs w:val="22"/>
        </w:rPr>
      </w:pPr>
    </w:p>
    <w:p w:rsidR="000B117B" w:rsidRPr="003B6C7E" w:rsidRDefault="000B117B" w:rsidP="000B117B">
      <w:pPr>
        <w:pStyle w:val="Default"/>
        <w:spacing w:before="60"/>
        <w:jc w:val="both"/>
        <w:rPr>
          <w:rFonts w:ascii="Times New Roman" w:hAnsi="Times New Roman" w:cs="Times New Roman"/>
          <w:color w:val="auto"/>
          <w:sz w:val="22"/>
          <w:szCs w:val="22"/>
        </w:rPr>
      </w:pPr>
    </w:p>
    <w:p w:rsidR="000B117B" w:rsidRPr="003B6C7E" w:rsidRDefault="000B117B" w:rsidP="000B117B">
      <w:pPr>
        <w:pStyle w:val="Default"/>
        <w:numPr>
          <w:ilvl w:val="0"/>
          <w:numId w:val="2"/>
        </w:numPr>
        <w:spacing w:before="120"/>
        <w:ind w:left="357" w:hanging="357"/>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POŽADAVKY NA DOPLNĚNÍ PODKLADŮ A PRŮZKUMŮ </w:t>
      </w:r>
    </w:p>
    <w:p w:rsidR="000B117B" w:rsidRPr="003B6C7E" w:rsidRDefault="000B117B" w:rsidP="000B117B">
      <w:pPr>
        <w:pStyle w:val="Default"/>
        <w:numPr>
          <w:ilvl w:val="2"/>
          <w:numId w:val="2"/>
        </w:numPr>
        <w:spacing w:before="12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Projektant prověří existenci stávajících archivních podkladů a prověří jejich aktuálnost.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lastRenderedPageBreak/>
        <w:t xml:space="preserve">Doplnění a ověření stávajících inženýrských sítí. </w:t>
      </w:r>
    </w:p>
    <w:p w:rsidR="000B117B" w:rsidRPr="003B6C7E" w:rsidRDefault="000B117B" w:rsidP="000B117B">
      <w:pPr>
        <w:pStyle w:val="Default"/>
        <w:numPr>
          <w:ilvl w:val="0"/>
          <w:numId w:val="2"/>
        </w:numPr>
        <w:spacing w:before="120"/>
        <w:ind w:left="357" w:hanging="357"/>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SOUVISEJÍCÍ NORMY A PŘEDPISY </w:t>
      </w:r>
    </w:p>
    <w:p w:rsidR="000B117B" w:rsidRPr="003B6C7E" w:rsidRDefault="000B117B" w:rsidP="000B117B">
      <w:pPr>
        <w:pStyle w:val="Default"/>
        <w:numPr>
          <w:ilvl w:val="2"/>
          <w:numId w:val="2"/>
        </w:numPr>
        <w:spacing w:before="12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Výčet právních předpisů a technických dokumentů je rozsáhlý, a proto před zahájením prací Zhotovitel provede aktualizaci a doplnění všech výchozích podkladů, zejména platných vnitropodnikových dokumentů a předpisů SŽDC (směrnice, vzorové listy, normy TNŽ, TKP, ZTP apod.) a nových ČSN EN. Potřebné informace o těchto podkladech obdrží u Technické ústředny dopravní cesty. </w:t>
      </w:r>
    </w:p>
    <w:p w:rsidR="000B117B" w:rsidRPr="003B6C7E" w:rsidRDefault="000B117B" w:rsidP="000B117B">
      <w:pPr>
        <w:pStyle w:val="Default"/>
        <w:numPr>
          <w:ilvl w:val="2"/>
          <w:numId w:val="2"/>
        </w:numPr>
        <w:spacing w:before="60"/>
        <w:ind w:left="1417" w:hanging="697"/>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Objednatel umožňuje Zhotoviteli přístup ke všem svým interním dokumentům a předpisům následujícím způsobem </w:t>
      </w:r>
    </w:p>
    <w:p w:rsidR="000B117B" w:rsidRPr="003B6C7E" w:rsidRDefault="000B117B" w:rsidP="000B117B">
      <w:pPr>
        <w:pStyle w:val="Default"/>
        <w:spacing w:before="120"/>
        <w:ind w:left="1134"/>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Správa železniční dopravní cesty, státní organizace </w:t>
      </w:r>
    </w:p>
    <w:p w:rsidR="000B117B" w:rsidRPr="003B6C7E" w:rsidRDefault="000B117B" w:rsidP="000B117B">
      <w:pPr>
        <w:pStyle w:val="Default"/>
        <w:ind w:left="1134"/>
        <w:jc w:val="both"/>
        <w:rPr>
          <w:rFonts w:ascii="Times New Roman" w:hAnsi="Times New Roman" w:cs="Times New Roman"/>
          <w:b/>
          <w:color w:val="auto"/>
          <w:sz w:val="22"/>
          <w:szCs w:val="22"/>
        </w:rPr>
      </w:pPr>
      <w:r w:rsidRPr="003B6C7E">
        <w:rPr>
          <w:rFonts w:ascii="Times New Roman" w:hAnsi="Times New Roman" w:cs="Times New Roman"/>
          <w:b/>
          <w:color w:val="auto"/>
          <w:sz w:val="22"/>
          <w:szCs w:val="22"/>
        </w:rPr>
        <w:t xml:space="preserve">Technická ústředna dopravní cesty, </w:t>
      </w:r>
    </w:p>
    <w:p w:rsidR="000B117B" w:rsidRPr="003B6C7E" w:rsidRDefault="000B117B" w:rsidP="000B117B">
      <w:pPr>
        <w:pStyle w:val="Default"/>
        <w:ind w:left="113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Oddělení typové dokumentace </w:t>
      </w:r>
    </w:p>
    <w:p w:rsidR="000B117B" w:rsidRPr="003B6C7E" w:rsidRDefault="000B117B" w:rsidP="000B117B">
      <w:pPr>
        <w:pStyle w:val="Default"/>
        <w:ind w:left="113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Nerudova 1 </w:t>
      </w:r>
    </w:p>
    <w:p w:rsidR="000B117B" w:rsidRPr="003B6C7E" w:rsidRDefault="000B117B" w:rsidP="000B117B">
      <w:pPr>
        <w:pStyle w:val="Default"/>
        <w:ind w:left="113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772 58 Olomouc </w:t>
      </w:r>
    </w:p>
    <w:p w:rsidR="000B117B" w:rsidRPr="003B6C7E" w:rsidRDefault="000B117B" w:rsidP="000B117B">
      <w:pPr>
        <w:pStyle w:val="Default"/>
        <w:spacing w:before="120"/>
        <w:ind w:left="113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kontaktní osoba:</w:t>
      </w:r>
      <w:r w:rsidRPr="003B6C7E">
        <w:rPr>
          <w:rFonts w:ascii="Times New Roman" w:hAnsi="Times New Roman" w:cs="Times New Roman"/>
          <w:color w:val="auto"/>
          <w:sz w:val="22"/>
          <w:szCs w:val="22"/>
        </w:rPr>
        <w:tab/>
        <w:t>p. Jarmila Strnadová,</w:t>
      </w:r>
    </w:p>
    <w:p w:rsidR="000B117B" w:rsidRPr="003B6C7E" w:rsidRDefault="000B117B" w:rsidP="000B117B">
      <w:pPr>
        <w:pStyle w:val="Default"/>
        <w:ind w:left="2550" w:firstLine="282"/>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tel.: 972 742 241, 972 741 769,</w:t>
      </w:r>
    </w:p>
    <w:p w:rsidR="000B117B" w:rsidRPr="003B6C7E" w:rsidRDefault="000B117B" w:rsidP="000B117B">
      <w:pPr>
        <w:pStyle w:val="Default"/>
        <w:ind w:left="2124" w:firstLine="70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mobil: 725 039 782, </w:t>
      </w:r>
    </w:p>
    <w:p w:rsidR="000B117B" w:rsidRPr="003B6C7E" w:rsidRDefault="000B117B" w:rsidP="000B117B">
      <w:pPr>
        <w:pStyle w:val="Default"/>
        <w:spacing w:before="120"/>
        <w:ind w:left="113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e-mail:</w:t>
      </w:r>
      <w:r w:rsidRPr="003B6C7E">
        <w:rPr>
          <w:rFonts w:ascii="Times New Roman" w:hAnsi="Times New Roman" w:cs="Times New Roman"/>
          <w:color w:val="auto"/>
          <w:sz w:val="22"/>
          <w:szCs w:val="22"/>
        </w:rPr>
        <w:tab/>
      </w:r>
      <w:hyperlink r:id="rId6" w:history="1">
        <w:r w:rsidRPr="003B6C7E">
          <w:rPr>
            <w:rStyle w:val="Hypertextovodkaz"/>
            <w:color w:val="auto"/>
            <w:sz w:val="22"/>
            <w:szCs w:val="22"/>
          </w:rPr>
          <w:t>typdok@tudc.cz</w:t>
        </w:r>
      </w:hyperlink>
    </w:p>
    <w:p w:rsidR="000B117B" w:rsidRPr="003B6C7E" w:rsidRDefault="000B117B" w:rsidP="000B117B">
      <w:pPr>
        <w:pStyle w:val="Default"/>
        <w:ind w:left="1134"/>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www:</w:t>
      </w:r>
      <w:r w:rsidRPr="003B6C7E">
        <w:rPr>
          <w:rFonts w:ascii="Times New Roman" w:hAnsi="Times New Roman" w:cs="Times New Roman"/>
          <w:color w:val="auto"/>
          <w:sz w:val="22"/>
          <w:szCs w:val="22"/>
        </w:rPr>
        <w:tab/>
        <w:t xml:space="preserve">http://typdok.tudc.cz, http://www.tudc.cz/ nebo </w:t>
      </w:r>
    </w:p>
    <w:p w:rsidR="000B117B" w:rsidRPr="003B6C7E" w:rsidRDefault="000B117B" w:rsidP="000B117B">
      <w:pPr>
        <w:pStyle w:val="Default"/>
        <w:ind w:left="1842" w:firstLine="282"/>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http://www.szdc.cz/dalsi-informace/dokumenty-a-predpisy.html. </w:t>
      </w:r>
    </w:p>
    <w:p w:rsidR="000B117B" w:rsidRPr="003B6C7E" w:rsidRDefault="000B117B" w:rsidP="000B117B">
      <w:pPr>
        <w:pStyle w:val="Default"/>
        <w:spacing w:before="60" w:after="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Interní dokumenty a předpisy Objednatele v platném znění si Zhotovitel zajistí na vlastní náklady. </w:t>
      </w:r>
    </w:p>
    <w:p w:rsidR="000B117B" w:rsidRPr="003B6C7E" w:rsidRDefault="000B117B" w:rsidP="000B117B">
      <w:pPr>
        <w:pStyle w:val="Default"/>
        <w:numPr>
          <w:ilvl w:val="2"/>
          <w:numId w:val="2"/>
        </w:numPr>
        <w:ind w:left="1418" w:hanging="698"/>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Při zhotovení stavby musí být respektovány jako výchozí podklady zejména: </w:t>
      </w:r>
    </w:p>
    <w:p w:rsidR="000B117B" w:rsidRPr="003B6C7E" w:rsidRDefault="000B117B" w:rsidP="000B117B">
      <w:pPr>
        <w:pStyle w:val="Default"/>
        <w:numPr>
          <w:ilvl w:val="0"/>
          <w:numId w:val="8"/>
        </w:numPr>
        <w:ind w:left="15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Obecně závazné dokumenty (zákony a vyhlášky) České republiky </w:t>
      </w:r>
    </w:p>
    <w:p w:rsidR="000B117B" w:rsidRPr="003B6C7E" w:rsidRDefault="000B117B" w:rsidP="000B117B">
      <w:pPr>
        <w:pStyle w:val="Default"/>
        <w:numPr>
          <w:ilvl w:val="0"/>
          <w:numId w:val="8"/>
        </w:numPr>
        <w:ind w:left="15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Obecně závazné evropské dokumenty, </w:t>
      </w:r>
    </w:p>
    <w:p w:rsidR="000B117B" w:rsidRDefault="000B117B" w:rsidP="000B117B">
      <w:pPr>
        <w:pStyle w:val="Default"/>
        <w:numPr>
          <w:ilvl w:val="0"/>
          <w:numId w:val="8"/>
        </w:numPr>
        <w:ind w:left="1560"/>
        <w:jc w:val="both"/>
        <w:rPr>
          <w:rFonts w:ascii="Times New Roman" w:hAnsi="Times New Roman" w:cs="Times New Roman"/>
          <w:color w:val="auto"/>
          <w:sz w:val="22"/>
          <w:szCs w:val="22"/>
        </w:rPr>
      </w:pPr>
      <w:r w:rsidRPr="003B6C7E">
        <w:rPr>
          <w:rFonts w:ascii="Times New Roman" w:hAnsi="Times New Roman" w:cs="Times New Roman"/>
          <w:color w:val="auto"/>
          <w:sz w:val="22"/>
          <w:szCs w:val="22"/>
        </w:rPr>
        <w:t xml:space="preserve">Technické normy, </w:t>
      </w:r>
    </w:p>
    <w:p w:rsidR="00494691" w:rsidRPr="000B117B" w:rsidRDefault="000B117B" w:rsidP="000B117B">
      <w:pPr>
        <w:pStyle w:val="Default"/>
        <w:numPr>
          <w:ilvl w:val="0"/>
          <w:numId w:val="8"/>
        </w:numPr>
        <w:ind w:left="1560"/>
        <w:jc w:val="both"/>
        <w:rPr>
          <w:rFonts w:ascii="Times New Roman" w:hAnsi="Times New Roman" w:cs="Times New Roman"/>
          <w:color w:val="auto"/>
          <w:sz w:val="22"/>
          <w:szCs w:val="22"/>
        </w:rPr>
      </w:pPr>
      <w:r w:rsidRPr="000B117B">
        <w:rPr>
          <w:rFonts w:ascii="Times New Roman" w:hAnsi="Times New Roman" w:cs="Times New Roman"/>
          <w:color w:val="auto"/>
          <w:sz w:val="22"/>
          <w:szCs w:val="22"/>
        </w:rPr>
        <w:t>Interní předpisy a dokumenty Objednatele.</w:t>
      </w:r>
    </w:p>
    <w:sectPr w:rsidR="00494691" w:rsidRPr="000B11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363E"/>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1E29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BC6608"/>
    <w:multiLevelType w:val="multilevel"/>
    <w:tmpl w:val="34F4C4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7C72B09"/>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B6F48F0"/>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D245CC8"/>
    <w:multiLevelType w:val="multilevel"/>
    <w:tmpl w:val="3F80A2BC"/>
    <w:lvl w:ilvl="0">
      <w:start w:val="1"/>
      <w:numFmt w:val="bullet"/>
      <w:lvlText w:val=""/>
      <w:lvlJc w:val="left"/>
      <w:pPr>
        <w:ind w:left="1495" w:hanging="360"/>
      </w:pPr>
      <w:rPr>
        <w:rFonts w:ascii="Symbol" w:hAnsi="Symbol" w:hint="default"/>
      </w:rPr>
    </w:lvl>
    <w:lvl w:ilvl="1">
      <w:start w:val="1"/>
      <w:numFmt w:val="decimal"/>
      <w:lvlText w:val="%1.%2."/>
      <w:lvlJc w:val="left"/>
      <w:pPr>
        <w:ind w:left="1927" w:hanging="432"/>
      </w:pPr>
    </w:lvl>
    <w:lvl w:ilvl="2">
      <w:start w:val="1"/>
      <w:numFmt w:val="decimal"/>
      <w:lvlText w:val="%1.%2.%3."/>
      <w:lvlJc w:val="left"/>
      <w:pPr>
        <w:ind w:left="2359" w:hanging="504"/>
      </w:pPr>
    </w:lvl>
    <w:lvl w:ilvl="3">
      <w:start w:val="1"/>
      <w:numFmt w:val="decimal"/>
      <w:lvlText w:val="%1.%2.%3.%4."/>
      <w:lvlJc w:val="left"/>
      <w:pPr>
        <w:ind w:left="2863" w:hanging="648"/>
      </w:pPr>
    </w:lvl>
    <w:lvl w:ilvl="4">
      <w:start w:val="1"/>
      <w:numFmt w:val="decimal"/>
      <w:lvlText w:val="%1.%2.%3.%4.%5."/>
      <w:lvlJc w:val="left"/>
      <w:pPr>
        <w:ind w:left="3367" w:hanging="792"/>
      </w:pPr>
    </w:lvl>
    <w:lvl w:ilvl="5">
      <w:start w:val="1"/>
      <w:numFmt w:val="decimal"/>
      <w:lvlText w:val="%1.%2.%3.%4.%5.%6."/>
      <w:lvlJc w:val="left"/>
      <w:pPr>
        <w:ind w:left="3871" w:hanging="936"/>
      </w:pPr>
    </w:lvl>
    <w:lvl w:ilvl="6">
      <w:start w:val="1"/>
      <w:numFmt w:val="decimal"/>
      <w:lvlText w:val="%1.%2.%3.%4.%5.%6.%7."/>
      <w:lvlJc w:val="left"/>
      <w:pPr>
        <w:ind w:left="4375" w:hanging="1080"/>
      </w:pPr>
    </w:lvl>
    <w:lvl w:ilvl="7">
      <w:start w:val="1"/>
      <w:numFmt w:val="decimal"/>
      <w:lvlText w:val="%1.%2.%3.%4.%5.%6.%7.%8."/>
      <w:lvlJc w:val="left"/>
      <w:pPr>
        <w:ind w:left="4879" w:hanging="1224"/>
      </w:pPr>
    </w:lvl>
    <w:lvl w:ilvl="8">
      <w:start w:val="1"/>
      <w:numFmt w:val="decimal"/>
      <w:lvlText w:val="%1.%2.%3.%4.%5.%6.%7.%8.%9."/>
      <w:lvlJc w:val="left"/>
      <w:pPr>
        <w:ind w:left="5455" w:hanging="1440"/>
      </w:pPr>
    </w:lvl>
  </w:abstractNum>
  <w:abstractNum w:abstractNumId="6">
    <w:nsid w:val="42D35AFD"/>
    <w:multiLevelType w:val="hybridMultilevel"/>
    <w:tmpl w:val="A62A43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86466BE"/>
    <w:multiLevelType w:val="multilevel"/>
    <w:tmpl w:val="3B1C077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7"/>
  </w:num>
  <w:num w:numId="3">
    <w:abstractNumId w:val="2"/>
  </w:num>
  <w:num w:numId="4">
    <w:abstractNumId w:val="0"/>
  </w:num>
  <w:num w:numId="5">
    <w:abstractNumId w:val="3"/>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17B"/>
    <w:rsid w:val="000B117B"/>
    <w:rsid w:val="00494691"/>
    <w:rsid w:val="00B62A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17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0B117B"/>
    <w:pPr>
      <w:overflowPunct/>
      <w:autoSpaceDE/>
      <w:autoSpaceDN/>
      <w:adjustRightInd/>
      <w:ind w:left="720"/>
      <w:contextualSpacing/>
      <w:textAlignment w:val="auto"/>
    </w:pPr>
    <w:rPr>
      <w:sz w:val="20"/>
    </w:rPr>
  </w:style>
  <w:style w:type="character" w:customStyle="1" w:styleId="OdstavecseseznamemChar">
    <w:name w:val="Odstavec se seznamem Char"/>
    <w:link w:val="Odstavecseseznamem"/>
    <w:uiPriority w:val="34"/>
    <w:locked/>
    <w:rsid w:val="000B117B"/>
    <w:rPr>
      <w:rFonts w:ascii="Times New Roman" w:eastAsia="Times New Roman" w:hAnsi="Times New Roman" w:cs="Times New Roman"/>
      <w:sz w:val="20"/>
      <w:szCs w:val="20"/>
      <w:lang w:eastAsia="cs-CZ"/>
    </w:rPr>
  </w:style>
  <w:style w:type="paragraph" w:customStyle="1" w:styleId="Default">
    <w:name w:val="Default"/>
    <w:rsid w:val="000B117B"/>
    <w:pPr>
      <w:autoSpaceDE w:val="0"/>
      <w:autoSpaceDN w:val="0"/>
      <w:adjustRightInd w:val="0"/>
      <w:spacing w:after="0" w:line="240" w:lineRule="auto"/>
    </w:pPr>
    <w:rPr>
      <w:rFonts w:ascii="Calibri" w:eastAsia="Calibri" w:hAnsi="Calibri" w:cs="Calibri"/>
      <w:color w:val="000000"/>
      <w:sz w:val="24"/>
      <w:szCs w:val="24"/>
    </w:rPr>
  </w:style>
  <w:style w:type="character" w:styleId="Hypertextovodkaz">
    <w:name w:val="Hyperlink"/>
    <w:uiPriority w:val="99"/>
    <w:rsid w:val="000B117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17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0B117B"/>
    <w:pPr>
      <w:overflowPunct/>
      <w:autoSpaceDE/>
      <w:autoSpaceDN/>
      <w:adjustRightInd/>
      <w:ind w:left="720"/>
      <w:contextualSpacing/>
      <w:textAlignment w:val="auto"/>
    </w:pPr>
    <w:rPr>
      <w:sz w:val="20"/>
    </w:rPr>
  </w:style>
  <w:style w:type="character" w:customStyle="1" w:styleId="OdstavecseseznamemChar">
    <w:name w:val="Odstavec se seznamem Char"/>
    <w:link w:val="Odstavecseseznamem"/>
    <w:uiPriority w:val="34"/>
    <w:locked/>
    <w:rsid w:val="000B117B"/>
    <w:rPr>
      <w:rFonts w:ascii="Times New Roman" w:eastAsia="Times New Roman" w:hAnsi="Times New Roman" w:cs="Times New Roman"/>
      <w:sz w:val="20"/>
      <w:szCs w:val="20"/>
      <w:lang w:eastAsia="cs-CZ"/>
    </w:rPr>
  </w:style>
  <w:style w:type="paragraph" w:customStyle="1" w:styleId="Default">
    <w:name w:val="Default"/>
    <w:rsid w:val="000B117B"/>
    <w:pPr>
      <w:autoSpaceDE w:val="0"/>
      <w:autoSpaceDN w:val="0"/>
      <w:adjustRightInd w:val="0"/>
      <w:spacing w:after="0" w:line="240" w:lineRule="auto"/>
    </w:pPr>
    <w:rPr>
      <w:rFonts w:ascii="Calibri" w:eastAsia="Calibri" w:hAnsi="Calibri" w:cs="Calibri"/>
      <w:color w:val="000000"/>
      <w:sz w:val="24"/>
      <w:szCs w:val="24"/>
    </w:rPr>
  </w:style>
  <w:style w:type="character" w:styleId="Hypertextovodkaz">
    <w:name w:val="Hyperlink"/>
    <w:uiPriority w:val="99"/>
    <w:rsid w:val="000B11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ypdok@tudc.c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5531</Words>
  <Characters>32639</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Zajíc Pavel, Mgr.</dc:creator>
  <cp:lastModifiedBy>Smeták Stanislav</cp:lastModifiedBy>
  <cp:revision>2</cp:revision>
  <dcterms:created xsi:type="dcterms:W3CDTF">2017-05-10T07:43:00Z</dcterms:created>
  <dcterms:modified xsi:type="dcterms:W3CDTF">2017-05-10T07:43:00Z</dcterms:modified>
</cp:coreProperties>
</file>